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BB" w:rsidRPr="001566B0" w:rsidRDefault="00A3148D" w:rsidP="00CF57BB">
      <w:pPr>
        <w:rPr>
          <w:vertAlign w:val="subscript"/>
        </w:rPr>
      </w:pPr>
      <w:r>
        <w:rPr>
          <w:noProof/>
          <w:vertAlign w:val="subscript"/>
          <w:lang w:eastAsia="en-US"/>
        </w:rPr>
        <w:drawing>
          <wp:anchor distT="0" distB="0" distL="114300" distR="114300" simplePos="0" relativeHeight="251653120" behindDoc="1" locked="0" layoutInCell="1" allowOverlap="1">
            <wp:simplePos x="0" y="0"/>
            <wp:positionH relativeFrom="column">
              <wp:posOffset>-116122</wp:posOffset>
            </wp:positionH>
            <wp:positionV relativeFrom="paragraph">
              <wp:posOffset>-7951</wp:posOffset>
            </wp:positionV>
            <wp:extent cx="8250306" cy="10320793"/>
            <wp:effectExtent l="19050" t="0" r="0" b="0"/>
            <wp:wrapNone/>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6"/>
                    <a:srcRect/>
                    <a:stretch>
                      <a:fillRect/>
                    </a:stretch>
                  </pic:blipFill>
                  <pic:spPr bwMode="auto">
                    <a:xfrm>
                      <a:off x="0" y="0"/>
                      <a:ext cx="8250306" cy="10320793"/>
                    </a:xfrm>
                    <a:prstGeom prst="rect">
                      <a:avLst/>
                    </a:prstGeom>
                    <a:noFill/>
                    <a:ln w="9525">
                      <a:noFill/>
                      <a:miter lim="800000"/>
                      <a:headEnd/>
                      <a:tailEnd/>
                    </a:ln>
                  </pic:spPr>
                </pic:pic>
              </a:graphicData>
            </a:graphic>
          </wp:anchor>
        </w:drawing>
      </w:r>
      <w:r w:rsidR="00112AD3">
        <w:rPr>
          <w:vertAlign w:val="subscript"/>
        </w:rPr>
        <w:pict>
          <v:shapetype id="_x0000_t202" coordsize="21600,21600" o:spt="202" path="m,l,21600r21600,l21600,xe">
            <v:stroke joinstyle="miter"/>
            <v:path gradientshapeok="t" o:connecttype="rect"/>
          </v:shapetype>
          <v:shape id="_x0000_s1027" type="#_x0000_t202" style="position:absolute;margin-left:117.75pt;margin-top:2.4pt;width:492.75pt;height:48.7pt;z-index:251655168;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7;mso-column-margin:5.76pt" inset="2.88pt,2.88pt,2.88pt,2.88pt">
              <w:txbxContent>
                <w:p w:rsidR="0008264B" w:rsidRPr="00423B61" w:rsidRDefault="00A3148D" w:rsidP="00CF57BB">
                  <w:pPr>
                    <w:rPr>
                      <w:rFonts w:ascii="Arial" w:hAnsi="Arial" w:cs="Arial"/>
                      <w:b/>
                      <w:color w:val="FFFFFF"/>
                    </w:rPr>
                  </w:pPr>
                  <w:r>
                    <w:rPr>
                      <w:rFonts w:ascii="Arial" w:hAnsi="Arial" w:cs="Arial"/>
                      <w:b/>
                      <w:color w:val="FFFFFF"/>
                    </w:rPr>
                    <w:t xml:space="preserve">     </w:t>
                  </w:r>
                  <w:proofErr w:type="gramStart"/>
                  <w:r>
                    <w:rPr>
                      <w:rFonts w:ascii="Arial" w:hAnsi="Arial" w:cs="Arial"/>
                      <w:b/>
                      <w:color w:val="FFFFFF"/>
                    </w:rPr>
                    <w:t>4</w:t>
                  </w:r>
                  <w:r w:rsidRPr="00A3148D">
                    <w:rPr>
                      <w:rFonts w:ascii="Arial" w:hAnsi="Arial" w:cs="Arial"/>
                      <w:b/>
                      <w:color w:val="FFFFFF"/>
                      <w:vertAlign w:val="superscript"/>
                    </w:rPr>
                    <w:t>th</w:t>
                  </w:r>
                  <w:r>
                    <w:rPr>
                      <w:rFonts w:ascii="Arial" w:hAnsi="Arial" w:cs="Arial"/>
                      <w:b/>
                      <w:color w:val="FFFFFF"/>
                    </w:rPr>
                    <w:t xml:space="preserve"> </w:t>
                  </w:r>
                  <w:r w:rsidR="0012213E">
                    <w:rPr>
                      <w:rFonts w:ascii="Arial" w:hAnsi="Arial" w:cs="Arial"/>
                      <w:b/>
                      <w:color w:val="FFFFFF"/>
                    </w:rPr>
                    <w:t xml:space="preserve"> May</w:t>
                  </w:r>
                  <w:proofErr w:type="gramEnd"/>
                  <w:r w:rsidR="00CF57BB" w:rsidRPr="00423B61">
                    <w:rPr>
                      <w:rFonts w:ascii="Arial" w:hAnsi="Arial" w:cs="Arial"/>
                      <w:b/>
                      <w:color w:val="FFFFFF"/>
                    </w:rPr>
                    <w:t xml:space="preserve">  |  WEEKLY  |  2016</w:t>
                  </w:r>
                </w:p>
                <w:p w:rsidR="00CF57BB" w:rsidRPr="00666583" w:rsidRDefault="0012213E" w:rsidP="00666583">
                  <w:pPr>
                    <w:jc w:val="center"/>
                    <w:rPr>
                      <w:rFonts w:ascii="Arial" w:hAnsi="Arial" w:cs="Arial"/>
                      <w:b/>
                      <w:color w:val="FFFF00"/>
                      <w:sz w:val="44"/>
                      <w:szCs w:val="44"/>
                      <w:u w:val="single"/>
                    </w:rPr>
                  </w:pPr>
                  <w:r w:rsidRPr="00666583">
                    <w:rPr>
                      <w:rFonts w:ascii="Arial" w:hAnsi="Arial" w:cs="Arial"/>
                      <w:b/>
                      <w:color w:val="FFFF00"/>
                      <w:sz w:val="44"/>
                      <w:szCs w:val="44"/>
                      <w:u w:val="single"/>
                    </w:rPr>
                    <w:t>Real Estate Bill Becomes an Act No</w:t>
                  </w:r>
                  <w:r w:rsidR="00666583">
                    <w:rPr>
                      <w:rFonts w:ascii="Arial" w:hAnsi="Arial" w:cs="Arial"/>
                      <w:b/>
                      <w:color w:val="FFFF00"/>
                      <w:sz w:val="44"/>
                      <w:szCs w:val="44"/>
                      <w:u w:val="single"/>
                    </w:rPr>
                    <w:t>w</w:t>
                  </w:r>
                </w:p>
              </w:txbxContent>
            </v:textbox>
            <w10:wrap anchory="page"/>
          </v:shape>
        </w:pict>
      </w:r>
      <w:r w:rsidR="00CF57BB">
        <w:rPr>
          <w:noProof/>
          <w:vertAlign w:val="subscript"/>
          <w:lang w:eastAsia="en-US"/>
        </w:rPr>
        <w:drawing>
          <wp:anchor distT="0" distB="0" distL="114300" distR="114300" simplePos="0" relativeHeight="251654144" behindDoc="1" locked="0" layoutInCell="1" allowOverlap="1">
            <wp:simplePos x="0" y="0"/>
            <wp:positionH relativeFrom="column">
              <wp:posOffset>4914900</wp:posOffset>
            </wp:positionH>
            <wp:positionV relativeFrom="paragraph">
              <wp:posOffset>-190500</wp:posOffset>
            </wp:positionV>
            <wp:extent cx="2988310" cy="10267950"/>
            <wp:effectExtent l="19050" t="0" r="2540" b="0"/>
            <wp:wrapNone/>
            <wp:docPr id="13" name="Picture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7"/>
                    <a:srcRect/>
                    <a:stretch>
                      <a:fillRect/>
                    </a:stretch>
                  </pic:blipFill>
                  <pic:spPr bwMode="auto">
                    <a:xfrm>
                      <a:off x="0" y="0"/>
                      <a:ext cx="2988310" cy="10267950"/>
                    </a:xfrm>
                    <a:prstGeom prst="rect">
                      <a:avLst/>
                    </a:prstGeom>
                    <a:noFill/>
                    <a:ln w="9525">
                      <a:noFill/>
                      <a:miter lim="800000"/>
                      <a:headEnd/>
                      <a:tailEnd/>
                    </a:ln>
                  </pic:spPr>
                </pic:pic>
              </a:graphicData>
            </a:graphic>
          </wp:anchor>
        </w:drawing>
      </w:r>
      <w:r w:rsidR="00CF57BB" w:rsidRPr="009F0005">
        <w:rPr>
          <w:noProof/>
          <w:vertAlign w:val="subscript"/>
          <w:lang w:eastAsia="en-US"/>
        </w:rPr>
        <w:drawing>
          <wp:inline distT="0" distB="0" distL="0" distR="0">
            <wp:extent cx="1447797" cy="647700"/>
            <wp:effectExtent l="19050" t="0" r="3" b="0"/>
            <wp:docPr id="3" name="Picture 2" descr="http://www.aufaitfincare.com/wp-content/themes/bizco/uploads/logo/au_fait_new_logo.jpg"/>
            <wp:cNvGraphicFramePr/>
            <a:graphic xmlns:a="http://schemas.openxmlformats.org/drawingml/2006/main">
              <a:graphicData uri="http://schemas.openxmlformats.org/drawingml/2006/picture">
                <pic:pic xmlns:pic="http://schemas.openxmlformats.org/drawingml/2006/picture">
                  <pic:nvPicPr>
                    <pic:cNvPr id="13" name="Picture 12" descr="http://www.aufaitfincare.com/wp-content/themes/bizco/uploads/logo/au_fait_new_logo.jpg"/>
                    <pic:cNvPicPr>
                      <a:picLocks noChangeAspect="1" noChangeArrowheads="1"/>
                    </pic:cNvPicPr>
                  </pic:nvPicPr>
                  <pic:blipFill>
                    <a:blip r:embed="rId8" cstate="print"/>
                    <a:srcRect/>
                    <a:stretch>
                      <a:fillRect/>
                    </a:stretch>
                  </pic:blipFill>
                  <pic:spPr bwMode="auto">
                    <a:xfrm>
                      <a:off x="0" y="0"/>
                      <a:ext cx="1447800" cy="647701"/>
                    </a:xfrm>
                    <a:prstGeom prst="rect">
                      <a:avLst/>
                    </a:prstGeom>
                    <a:noFill/>
                  </pic:spPr>
                </pic:pic>
              </a:graphicData>
            </a:graphic>
          </wp:inline>
        </w:drawing>
      </w:r>
      <w:r w:rsidR="00CF57BB">
        <w:rPr>
          <w:vertAlign w:val="subscript"/>
        </w:rPr>
        <w:t xml:space="preserve"> </w:t>
      </w:r>
    </w:p>
    <w:p w:rsidR="00CF57BB" w:rsidRDefault="00112AD3" w:rsidP="00CF57BB">
      <w:r w:rsidRPr="00112AD3">
        <w:rPr>
          <w:vertAlign w:val="subscript"/>
        </w:rPr>
        <w:pict>
          <v:shape id="_x0000_s1028" type="#_x0000_t202" style="position:absolute;margin-left:10.6pt;margin-top:55.85pt;width:374.3pt;height:235.75pt;z-index:251656192;mso-wrap-distance-left:2.88pt;mso-wrap-distance-top:2.88pt;mso-wrap-distance-right:2.88pt;mso-wrap-distance-bottom:2.88pt;mso-position-vertical-relative:page"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8;mso-column-margin:5.76pt" inset="2.88pt,2.88pt,2.88pt,2.88pt">
              <w:txbxContent>
                <w:p w:rsidR="0012213E" w:rsidRPr="00886641" w:rsidRDefault="0012213E" w:rsidP="0012213E">
                  <w:pPr>
                    <w:pStyle w:val="NormalWeb"/>
                    <w:spacing w:before="0" w:beforeAutospacing="0" w:after="0" w:afterAutospacing="0"/>
                    <w:jc w:val="both"/>
                    <w:rPr>
                      <w:rFonts w:ascii="Calibri" w:hAnsi="Calibri"/>
                      <w:b/>
                      <w:bCs/>
                      <w:i/>
                      <w:iCs/>
                      <w:color w:val="FFFF00"/>
                    </w:rPr>
                  </w:pPr>
                  <w:r w:rsidRPr="00886641">
                    <w:rPr>
                      <w:rFonts w:ascii="Calibri" w:hAnsi="Calibri"/>
                      <w:b/>
                      <w:bCs/>
                      <w:i/>
                      <w:iCs/>
                      <w:color w:val="FFFF00"/>
                    </w:rPr>
                    <w:t>The act seeks to protect the rights of home buyers, mandates registration of projects, including those that have not got completion or occupancy certificates.</w:t>
                  </w:r>
                </w:p>
                <w:p w:rsidR="00666583" w:rsidRPr="00666583" w:rsidRDefault="00666583" w:rsidP="0012213E">
                  <w:pPr>
                    <w:pStyle w:val="NormalWeb"/>
                    <w:spacing w:before="0" w:beforeAutospacing="0" w:after="0" w:afterAutospacing="0"/>
                    <w:jc w:val="both"/>
                    <w:rPr>
                      <w:rFonts w:ascii="Calibri" w:hAnsi="Calibri"/>
                      <w:b/>
                      <w:bCs/>
                      <w:i/>
                      <w:iCs/>
                      <w:color w:val="FFFFFF" w:themeColor="background1"/>
                      <w:sz w:val="20"/>
                      <w:szCs w:val="20"/>
                    </w:rPr>
                  </w:pPr>
                </w:p>
                <w:p w:rsidR="0012213E" w:rsidRPr="002C411B" w:rsidRDefault="0012213E" w:rsidP="002C411B">
                  <w:pPr>
                    <w:spacing w:line="245" w:lineRule="atLeast"/>
                    <w:jc w:val="both"/>
                    <w:rPr>
                      <w:rFonts w:ascii="Arial" w:eastAsia="Times New Roman" w:hAnsi="Arial" w:cs="Arial"/>
                      <w:b/>
                      <w:color w:val="FFFFFF" w:themeColor="background1"/>
                      <w:sz w:val="18"/>
                      <w:szCs w:val="18"/>
                    </w:rPr>
                  </w:pPr>
                  <w:r w:rsidRPr="002C411B">
                    <w:rPr>
                      <w:rFonts w:ascii="Arial" w:hAnsi="Arial" w:cs="Arial"/>
                      <w:b/>
                      <w:bCs/>
                      <w:i/>
                      <w:iCs/>
                      <w:color w:val="FFFFFF" w:themeColor="background1"/>
                      <w:sz w:val="18"/>
                      <w:szCs w:val="18"/>
                    </w:rPr>
                    <w:t xml:space="preserve"> </w:t>
                  </w:r>
                  <w:r w:rsidRPr="002C411B">
                    <w:rPr>
                      <w:rFonts w:ascii="Arial" w:eastAsia="Times New Roman" w:hAnsi="Arial" w:cs="Arial"/>
                      <w:b/>
                      <w:color w:val="FFFFFF" w:themeColor="background1"/>
                      <w:sz w:val="18"/>
                      <w:szCs w:val="18"/>
                    </w:rPr>
                    <w:t xml:space="preserve">The Real Estate </w:t>
                  </w:r>
                  <w:proofErr w:type="gramStart"/>
                  <w:r w:rsidRPr="002C411B">
                    <w:rPr>
                      <w:rFonts w:ascii="Arial" w:eastAsia="Times New Roman" w:hAnsi="Arial" w:cs="Arial"/>
                      <w:b/>
                      <w:color w:val="FFFFFF" w:themeColor="background1"/>
                      <w:sz w:val="18"/>
                      <w:szCs w:val="18"/>
                    </w:rPr>
                    <w:t>( Regulation</w:t>
                  </w:r>
                  <w:proofErr w:type="gramEnd"/>
                  <w:r w:rsidRPr="002C411B">
                    <w:rPr>
                      <w:rFonts w:ascii="Arial" w:eastAsia="Times New Roman" w:hAnsi="Arial" w:cs="Arial"/>
                      <w:b/>
                      <w:color w:val="FFFFFF" w:themeColor="background1"/>
                      <w:sz w:val="18"/>
                      <w:szCs w:val="18"/>
                    </w:rPr>
                    <w:t xml:space="preserve"> and Development) Bill, 2016, became an Act on May 1, </w:t>
                  </w:r>
                  <w:proofErr w:type="spellStart"/>
                  <w:r w:rsidRPr="002C411B">
                    <w:rPr>
                      <w:rFonts w:ascii="Arial" w:eastAsia="Times New Roman" w:hAnsi="Arial" w:cs="Arial"/>
                      <w:b/>
                      <w:color w:val="FFFFFF" w:themeColor="background1"/>
                      <w:sz w:val="18"/>
                      <w:szCs w:val="18"/>
                    </w:rPr>
                    <w:t>kickstarting</w:t>
                  </w:r>
                  <w:proofErr w:type="spellEnd"/>
                  <w:r w:rsidRPr="002C411B">
                    <w:rPr>
                      <w:rFonts w:ascii="Arial" w:eastAsia="Times New Roman" w:hAnsi="Arial" w:cs="Arial"/>
                      <w:b/>
                      <w:color w:val="FFFFFF" w:themeColor="background1"/>
                      <w:sz w:val="18"/>
                      <w:szCs w:val="18"/>
                    </w:rPr>
                    <w:t xml:space="preserve"> the process of making rules as well as putting in place institutional infrastructure to protect the interests of home buyers in India.</w:t>
                  </w:r>
                </w:p>
                <w:p w:rsidR="0012213E" w:rsidRPr="002C411B" w:rsidRDefault="0012213E" w:rsidP="002C411B">
                  <w:pPr>
                    <w:spacing w:line="245" w:lineRule="atLeast"/>
                    <w:jc w:val="both"/>
                    <w:rPr>
                      <w:rFonts w:ascii="Arial" w:eastAsia="Times New Roman" w:hAnsi="Arial" w:cs="Arial"/>
                      <w:b/>
                      <w:color w:val="FFFFFF" w:themeColor="background1"/>
                      <w:sz w:val="18"/>
                      <w:szCs w:val="18"/>
                    </w:rPr>
                  </w:pPr>
                </w:p>
                <w:p w:rsidR="0012213E" w:rsidRPr="002C411B" w:rsidRDefault="0012213E" w:rsidP="002C411B">
                  <w:pPr>
                    <w:spacing w:line="245" w:lineRule="atLeast"/>
                    <w:jc w:val="both"/>
                    <w:rPr>
                      <w:rFonts w:ascii="Arial" w:eastAsia="Times New Roman" w:hAnsi="Arial" w:cs="Arial"/>
                      <w:b/>
                      <w:color w:val="FFFFFF" w:themeColor="background1"/>
                      <w:sz w:val="18"/>
                      <w:szCs w:val="18"/>
                    </w:rPr>
                  </w:pPr>
                  <w:r w:rsidRPr="002C411B">
                    <w:rPr>
                      <w:rFonts w:ascii="Arial" w:eastAsia="Times New Roman" w:hAnsi="Arial" w:cs="Arial"/>
                      <w:b/>
                      <w:color w:val="FFFFFF" w:themeColor="background1"/>
                      <w:sz w:val="18"/>
                      <w:szCs w:val="18"/>
                    </w:rPr>
                    <w:t>The Ministry of Housing &amp; Poverty Alleviation notified 69 of the act’s 92 sections that come into force from May 1. Rules for implementing the provisions of the act have to be formulated by the central and state governments within six months – by October 31 – the maximum period stipulated in section 84 of the act.</w:t>
                  </w:r>
                </w:p>
                <w:p w:rsidR="00666583" w:rsidRPr="002C411B" w:rsidRDefault="00666583" w:rsidP="002C411B">
                  <w:pPr>
                    <w:spacing w:line="245" w:lineRule="atLeast"/>
                    <w:jc w:val="both"/>
                    <w:rPr>
                      <w:rFonts w:ascii="Arial" w:eastAsia="Times New Roman" w:hAnsi="Arial" w:cs="Arial"/>
                      <w:b/>
                      <w:color w:val="FFFFFF" w:themeColor="background1"/>
                      <w:sz w:val="18"/>
                      <w:szCs w:val="18"/>
                    </w:rPr>
                  </w:pPr>
                </w:p>
                <w:p w:rsidR="0012213E" w:rsidRPr="002C411B" w:rsidRDefault="0012213E" w:rsidP="002C411B">
                  <w:pPr>
                    <w:spacing w:line="245" w:lineRule="atLeast"/>
                    <w:jc w:val="both"/>
                    <w:rPr>
                      <w:rFonts w:ascii="Arial" w:eastAsia="Times New Roman" w:hAnsi="Arial" w:cs="Arial"/>
                      <w:b/>
                      <w:color w:val="FFFFFF" w:themeColor="background1"/>
                      <w:sz w:val="20"/>
                      <w:szCs w:val="20"/>
                    </w:rPr>
                  </w:pPr>
                  <w:r w:rsidRPr="002C411B">
                    <w:rPr>
                      <w:rFonts w:ascii="Arial" w:eastAsia="Times New Roman" w:hAnsi="Arial" w:cs="Arial"/>
                      <w:b/>
                      <w:color w:val="FFFFFF" w:themeColor="background1"/>
                      <w:sz w:val="18"/>
                      <w:szCs w:val="18"/>
                    </w:rPr>
                    <w:t xml:space="preserve">The Housing Ministry will make the rules for Union </w:t>
                  </w:r>
                  <w:proofErr w:type="spellStart"/>
                  <w:r w:rsidRPr="002C411B">
                    <w:rPr>
                      <w:rFonts w:ascii="Arial" w:eastAsia="Times New Roman" w:hAnsi="Arial" w:cs="Arial"/>
                      <w:b/>
                      <w:color w:val="FFFFFF" w:themeColor="background1"/>
                      <w:sz w:val="18"/>
                      <w:szCs w:val="18"/>
                    </w:rPr>
                    <w:t>Terrritories</w:t>
                  </w:r>
                  <w:proofErr w:type="spellEnd"/>
                  <w:r w:rsidRPr="002C411B">
                    <w:rPr>
                      <w:rFonts w:ascii="Arial" w:eastAsia="Times New Roman" w:hAnsi="Arial" w:cs="Arial"/>
                      <w:b/>
                      <w:color w:val="FFFFFF" w:themeColor="background1"/>
                      <w:sz w:val="18"/>
                      <w:szCs w:val="18"/>
                    </w:rPr>
                    <w:t xml:space="preserve"> while the ministry of urban development will do so for Delhi. The Key to providing succor to home buyers will be the setting up of Real Estate </w:t>
                  </w:r>
                  <w:proofErr w:type="spellStart"/>
                  <w:r w:rsidRPr="002C411B">
                    <w:rPr>
                      <w:rFonts w:ascii="Arial" w:eastAsia="Times New Roman" w:hAnsi="Arial" w:cs="Arial"/>
                      <w:b/>
                      <w:color w:val="FFFFFF" w:themeColor="background1"/>
                      <w:sz w:val="18"/>
                      <w:szCs w:val="18"/>
                    </w:rPr>
                    <w:t>Regulatories</w:t>
                  </w:r>
                  <w:proofErr w:type="spellEnd"/>
                  <w:r w:rsidRPr="002C411B">
                    <w:rPr>
                      <w:rFonts w:ascii="Arial" w:eastAsia="Times New Roman" w:hAnsi="Arial" w:cs="Arial"/>
                      <w:b/>
                      <w:color w:val="FFFFFF" w:themeColor="background1"/>
                      <w:sz w:val="18"/>
                      <w:szCs w:val="18"/>
                    </w:rPr>
                    <w:t xml:space="preserve"> Authorities which will require all projects to be registered and the formation</w:t>
                  </w:r>
                  <w:r w:rsidRPr="002C411B">
                    <w:rPr>
                      <w:rFonts w:ascii="Arial" w:eastAsia="Times New Roman" w:hAnsi="Arial" w:cs="Arial"/>
                      <w:b/>
                      <w:color w:val="FFFFFF" w:themeColor="background1"/>
                      <w:sz w:val="20"/>
                      <w:szCs w:val="20"/>
                    </w:rPr>
                    <w:t xml:space="preserve"> of Appellate Tribunals </w:t>
                  </w:r>
                  <w:r w:rsidR="00666583" w:rsidRPr="002C411B">
                    <w:rPr>
                      <w:rFonts w:ascii="Arial" w:eastAsia="Times New Roman" w:hAnsi="Arial" w:cs="Arial"/>
                      <w:b/>
                      <w:color w:val="FFFFFF" w:themeColor="background1"/>
                      <w:sz w:val="20"/>
                      <w:szCs w:val="20"/>
                    </w:rPr>
                    <w:t>to adjudicate disputes.</w:t>
                  </w:r>
                </w:p>
                <w:p w:rsidR="007F3872" w:rsidRPr="002C411B" w:rsidRDefault="007F3872" w:rsidP="002C411B">
                  <w:pPr>
                    <w:spacing w:line="245" w:lineRule="atLeast"/>
                    <w:jc w:val="both"/>
                    <w:rPr>
                      <w:rFonts w:ascii="Arial" w:eastAsia="Times New Roman" w:hAnsi="Arial" w:cs="Arial"/>
                      <w:b/>
                      <w:color w:val="FFFFFF" w:themeColor="background1"/>
                      <w:sz w:val="20"/>
                      <w:szCs w:val="20"/>
                    </w:rPr>
                  </w:pPr>
                </w:p>
                <w:p w:rsidR="00CF57BB" w:rsidRPr="00666583" w:rsidRDefault="00CF57BB" w:rsidP="00CF57BB">
                  <w:pPr>
                    <w:pStyle w:val="NormalWeb"/>
                    <w:spacing w:before="0" w:beforeAutospacing="0" w:after="0" w:afterAutospacing="0"/>
                    <w:jc w:val="both"/>
                    <w:rPr>
                      <w:rFonts w:ascii="Calibri" w:hAnsi="Calibri" w:cs="Arial"/>
                      <w:b/>
                      <w:bCs/>
                      <w:i/>
                      <w:iCs/>
                      <w:color w:val="333333"/>
                      <w:sz w:val="20"/>
                      <w:szCs w:val="20"/>
                    </w:rPr>
                  </w:pPr>
                </w:p>
              </w:txbxContent>
            </v:textbox>
            <w10:wrap anchory="page"/>
          </v:shape>
        </w:pict>
      </w:r>
      <w:r w:rsidRPr="00112AD3">
        <w:rPr>
          <w:noProof/>
          <w:vertAlign w:val="subscript"/>
          <w:lang w:eastAsia="en-US"/>
        </w:rPr>
        <w:pict>
          <v:shape id="_x0000_s1035" type="#_x0000_t202" style="position:absolute;margin-left:396.75pt;margin-top:.1pt;width:205.5pt;height:150.25pt;z-index:251663360">
            <v:textbox>
              <w:txbxContent>
                <w:p w:rsidR="00666583" w:rsidRDefault="00666583">
                  <w:r>
                    <w:rPr>
                      <w:noProof/>
                      <w:lang w:eastAsia="en-US"/>
                    </w:rPr>
                    <w:drawing>
                      <wp:inline distT="0" distB="0" distL="0" distR="0">
                        <wp:extent cx="2526909" cy="1811215"/>
                        <wp:effectExtent l="19050" t="0" r="6741" b="0"/>
                        <wp:docPr id="7" name="Picture 7" descr="http://economictimes.indiatimes.com/photo/52069913.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nomictimes.indiatimes.com/photo/52069913.cms"/>
                                <pic:cNvPicPr>
                                  <a:picLocks noChangeAspect="1" noChangeArrowheads="1"/>
                                </pic:cNvPicPr>
                              </pic:nvPicPr>
                              <pic:blipFill>
                                <a:blip r:embed="rId9"/>
                                <a:srcRect/>
                                <a:stretch>
                                  <a:fillRect/>
                                </a:stretch>
                              </pic:blipFill>
                              <pic:spPr bwMode="auto">
                                <a:xfrm>
                                  <a:off x="0" y="0"/>
                                  <a:ext cx="2526909" cy="1811215"/>
                                </a:xfrm>
                                <a:prstGeom prst="rect">
                                  <a:avLst/>
                                </a:prstGeom>
                                <a:noFill/>
                                <a:ln w="9525">
                                  <a:noFill/>
                                  <a:miter lim="800000"/>
                                  <a:headEnd/>
                                  <a:tailEnd/>
                                </a:ln>
                              </pic:spPr>
                            </pic:pic>
                          </a:graphicData>
                        </a:graphic>
                      </wp:inline>
                    </w:drawing>
                  </w:r>
                </w:p>
              </w:txbxContent>
            </v:textbox>
          </v:shape>
        </w:pict>
      </w:r>
    </w:p>
    <w:p w:rsidR="00CF57BB" w:rsidRDefault="00CF57BB" w:rsidP="00CF57BB"/>
    <w:p w:rsidR="00CF57BB" w:rsidRDefault="00112AD3" w:rsidP="00CF57BB">
      <w:r w:rsidRPr="00112AD3">
        <w:rPr>
          <w:noProof/>
          <w:vertAlign w:val="subscript"/>
          <w:lang w:eastAsia="en-US"/>
        </w:rPr>
        <w:pict>
          <v:shape id="_x0000_s1033" type="#_x0000_t202" style="position:absolute;margin-left:12pt;margin-top:753.75pt;width:361.5pt;height:35.25pt;z-index:251662336;mso-wrap-distance-left:2.88pt;mso-wrap-distance-top:2.88pt;mso-wrap-distance-right:2.88pt;mso-wrap-distance-bottom:2.88pt;mso-position-vertical-relative:page"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3;mso-column-margin:5.76pt" inset="2.88pt,2.88pt,2.88pt,2.88pt">
              <w:txbxContent>
                <w:p w:rsidR="00CF57BB" w:rsidRPr="00174C9C" w:rsidRDefault="00CF57BB" w:rsidP="00CF57BB">
                  <w:pPr>
                    <w:jc w:val="center"/>
                    <w:rPr>
                      <w:rFonts w:ascii="Arial" w:hAnsi="Arial" w:cs="Arial"/>
                      <w:b/>
                      <w:color w:val="FFFF00"/>
                      <w:sz w:val="20"/>
                      <w:szCs w:val="20"/>
                    </w:rPr>
                  </w:pPr>
                  <w:r w:rsidRPr="00174C9C">
                    <w:rPr>
                      <w:rFonts w:ascii="Arial" w:hAnsi="Arial" w:cs="Arial"/>
                      <w:b/>
                      <w:color w:val="FFFF00"/>
                      <w:sz w:val="20"/>
                      <w:szCs w:val="20"/>
                    </w:rPr>
                    <w:t xml:space="preserve">For More Details, Please Contact Our Representative </w:t>
                  </w:r>
                  <w:proofErr w:type="gramStart"/>
                  <w:r w:rsidRPr="00174C9C">
                    <w:rPr>
                      <w:rFonts w:ascii="Arial" w:hAnsi="Arial" w:cs="Arial"/>
                      <w:b/>
                      <w:color w:val="FFFF00"/>
                      <w:sz w:val="20"/>
                      <w:szCs w:val="20"/>
                    </w:rPr>
                    <w:t>Today :</w:t>
                  </w:r>
                  <w:proofErr w:type="gramEnd"/>
                  <w:r w:rsidRPr="00174C9C">
                    <w:rPr>
                      <w:rFonts w:ascii="Arial" w:hAnsi="Arial" w:cs="Arial"/>
                      <w:b/>
                      <w:color w:val="FFFF00"/>
                      <w:sz w:val="20"/>
                      <w:szCs w:val="20"/>
                    </w:rPr>
                    <w:t>-</w:t>
                  </w:r>
                </w:p>
                <w:p w:rsidR="00CF57BB" w:rsidRPr="00174C9C" w:rsidRDefault="00CF57BB" w:rsidP="00CF57BB">
                  <w:pPr>
                    <w:jc w:val="center"/>
                    <w:rPr>
                      <w:rFonts w:ascii="Arial" w:hAnsi="Arial" w:cs="Arial"/>
                      <w:b/>
                      <w:color w:val="FFFF00"/>
                      <w:sz w:val="20"/>
                      <w:szCs w:val="20"/>
                    </w:rPr>
                  </w:pPr>
                  <w:proofErr w:type="spellStart"/>
                  <w:r w:rsidRPr="00174C9C">
                    <w:rPr>
                      <w:rFonts w:ascii="Arial" w:hAnsi="Arial" w:cs="Arial"/>
                      <w:b/>
                      <w:color w:val="FFFF00"/>
                      <w:sz w:val="20"/>
                      <w:szCs w:val="20"/>
                    </w:rPr>
                    <w:t>Pratima</w:t>
                  </w:r>
                  <w:proofErr w:type="spellEnd"/>
                  <w:r w:rsidRPr="00174C9C">
                    <w:rPr>
                      <w:rFonts w:ascii="Arial" w:hAnsi="Arial" w:cs="Arial"/>
                      <w:b/>
                      <w:color w:val="FFFF00"/>
                      <w:sz w:val="20"/>
                      <w:szCs w:val="20"/>
                    </w:rPr>
                    <w:t xml:space="preserve"> </w:t>
                  </w:r>
                  <w:proofErr w:type="spellStart"/>
                  <w:r w:rsidRPr="00174C9C">
                    <w:rPr>
                      <w:rFonts w:ascii="Arial" w:hAnsi="Arial" w:cs="Arial"/>
                      <w:b/>
                      <w:color w:val="FFFF00"/>
                      <w:sz w:val="20"/>
                      <w:szCs w:val="20"/>
                    </w:rPr>
                    <w:t>Sarkar</w:t>
                  </w:r>
                  <w:proofErr w:type="spellEnd"/>
                  <w:r w:rsidRPr="00174C9C">
                    <w:rPr>
                      <w:rFonts w:ascii="Arial" w:hAnsi="Arial" w:cs="Arial"/>
                      <w:b/>
                      <w:color w:val="FFFF00"/>
                      <w:sz w:val="20"/>
                      <w:szCs w:val="20"/>
                    </w:rPr>
                    <w:t xml:space="preserve"> – 9873094775 Parikshit </w:t>
                  </w:r>
                  <w:proofErr w:type="gramStart"/>
                  <w:r w:rsidRPr="00174C9C">
                    <w:rPr>
                      <w:rFonts w:ascii="Arial" w:hAnsi="Arial" w:cs="Arial"/>
                      <w:b/>
                      <w:color w:val="FFFF00"/>
                      <w:sz w:val="20"/>
                      <w:szCs w:val="20"/>
                    </w:rPr>
                    <w:t>Jha  --</w:t>
                  </w:r>
                  <w:proofErr w:type="gramEnd"/>
                  <w:r w:rsidRPr="00174C9C">
                    <w:rPr>
                      <w:rFonts w:ascii="Arial" w:hAnsi="Arial" w:cs="Arial"/>
                      <w:b/>
                      <w:color w:val="FFFF00"/>
                      <w:sz w:val="20"/>
                      <w:szCs w:val="20"/>
                    </w:rPr>
                    <w:t xml:space="preserve">  9711801195</w:t>
                  </w:r>
                </w:p>
                <w:p w:rsidR="00CF57BB" w:rsidRPr="00174C9C" w:rsidRDefault="00CF57BB" w:rsidP="00CF57BB">
                  <w:pPr>
                    <w:jc w:val="center"/>
                    <w:rPr>
                      <w:rFonts w:ascii="Arial" w:hAnsi="Arial" w:cs="Arial"/>
                      <w:b/>
                      <w:color w:val="FFFF00"/>
                      <w:sz w:val="20"/>
                      <w:szCs w:val="20"/>
                    </w:rPr>
                  </w:pPr>
                </w:p>
                <w:p w:rsidR="00CF57BB" w:rsidRPr="00174C9C" w:rsidRDefault="00CF57BB" w:rsidP="00CF57BB">
                  <w:pPr>
                    <w:jc w:val="center"/>
                    <w:rPr>
                      <w:rFonts w:ascii="Arial" w:hAnsi="Arial" w:cs="Arial"/>
                      <w:b/>
                      <w:color w:val="FFFF00"/>
                      <w:sz w:val="20"/>
                      <w:szCs w:val="20"/>
                    </w:rPr>
                  </w:pPr>
                </w:p>
                <w:p w:rsidR="00CF57BB" w:rsidRPr="00174C9C" w:rsidRDefault="00CF57BB" w:rsidP="00CF57BB">
                  <w:pPr>
                    <w:jc w:val="center"/>
                    <w:rPr>
                      <w:rFonts w:ascii="Arial" w:hAnsi="Arial" w:cs="Arial"/>
                      <w:b/>
                      <w:color w:val="FFFF00"/>
                      <w:sz w:val="20"/>
                      <w:szCs w:val="20"/>
                    </w:rPr>
                  </w:pPr>
                </w:p>
                <w:p w:rsidR="00CF57BB" w:rsidRPr="00174C9C" w:rsidRDefault="00CF57BB" w:rsidP="00CF57BB">
                  <w:pPr>
                    <w:jc w:val="center"/>
                    <w:rPr>
                      <w:rFonts w:ascii="Arial" w:hAnsi="Arial" w:cs="Arial"/>
                      <w:b/>
                      <w:color w:val="FFFF00"/>
                      <w:sz w:val="20"/>
                      <w:szCs w:val="20"/>
                    </w:rPr>
                  </w:pPr>
                </w:p>
                <w:p w:rsidR="00CF57BB" w:rsidRPr="00174C9C" w:rsidRDefault="00CF57BB" w:rsidP="00CF57BB">
                  <w:pPr>
                    <w:jc w:val="center"/>
                    <w:rPr>
                      <w:rFonts w:ascii="Arial" w:hAnsi="Arial" w:cs="Arial"/>
                      <w:b/>
                      <w:color w:val="FFFF00"/>
                      <w:sz w:val="20"/>
                      <w:szCs w:val="20"/>
                    </w:rPr>
                  </w:pPr>
                </w:p>
                <w:p w:rsidR="00CF57BB" w:rsidRPr="00174C9C" w:rsidRDefault="00CF57BB" w:rsidP="00CF57BB">
                  <w:pPr>
                    <w:jc w:val="center"/>
                    <w:rPr>
                      <w:rFonts w:ascii="Arial" w:hAnsi="Arial" w:cs="Arial"/>
                      <w:b/>
                      <w:color w:val="FFFF00"/>
                      <w:sz w:val="20"/>
                      <w:szCs w:val="20"/>
                    </w:rPr>
                  </w:pPr>
                </w:p>
                <w:p w:rsidR="00CF57BB" w:rsidRPr="00174C9C" w:rsidRDefault="00CF57BB" w:rsidP="00CF57BB">
                  <w:pPr>
                    <w:jc w:val="center"/>
                    <w:rPr>
                      <w:rFonts w:ascii="Arial" w:hAnsi="Arial" w:cs="Arial"/>
                      <w:b/>
                      <w:color w:val="FFFF00"/>
                      <w:sz w:val="20"/>
                      <w:szCs w:val="20"/>
                    </w:rPr>
                  </w:pPr>
                </w:p>
                <w:p w:rsidR="00CF57BB" w:rsidRPr="00174C9C" w:rsidRDefault="00CF57BB" w:rsidP="00CF57BB">
                  <w:pPr>
                    <w:jc w:val="center"/>
                    <w:rPr>
                      <w:rFonts w:ascii="Arial" w:hAnsi="Arial" w:cs="Arial"/>
                      <w:b/>
                      <w:color w:val="FFFF00"/>
                      <w:sz w:val="20"/>
                      <w:szCs w:val="20"/>
                    </w:rPr>
                  </w:pPr>
                </w:p>
              </w:txbxContent>
            </v:textbox>
            <w10:wrap anchory="page"/>
          </v:shape>
        </w:pict>
      </w:r>
      <w:r w:rsidRPr="00112AD3">
        <w:rPr>
          <w:vertAlign w:val="subscript"/>
        </w:rPr>
        <w:pict>
          <v:shape id="_x0000_s1026" type="#_x0000_t202" style="position:absolute;margin-left:12pt;margin-top:213pt;width:366pt;height:174.7pt;z-index:251657216;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6;mso-column-margin:5.76pt" inset="2.88pt,2.88pt,2.88pt,2.88pt">
              <w:txbxContent>
                <w:p w:rsidR="00CF57BB" w:rsidRPr="00CB4B99" w:rsidRDefault="00886641" w:rsidP="00CF57BB">
                  <w:pPr>
                    <w:rPr>
                      <w:rFonts w:ascii="DIN Mittelschrift Std" w:hAnsi="DIN Mittelschrift Std" w:cs="Arial"/>
                      <w:color w:val="FFFFFF"/>
                      <w:spacing w:val="-20"/>
                      <w:sz w:val="96"/>
                      <w:szCs w:val="96"/>
                    </w:rPr>
                  </w:pPr>
                  <w:r w:rsidRPr="00886641">
                    <w:rPr>
                      <w:rFonts w:ascii="DIN Mittelschrift Std" w:hAnsi="DIN Mittelschrift Std" w:cs="Arial"/>
                      <w:noProof/>
                      <w:color w:val="FFFFFF"/>
                      <w:spacing w:val="-20"/>
                      <w:sz w:val="96"/>
                      <w:szCs w:val="96"/>
                      <w:lang w:eastAsia="en-US"/>
                    </w:rPr>
                    <w:drawing>
                      <wp:inline distT="0" distB="0" distL="0" distR="0">
                        <wp:extent cx="4419600" cy="2171700"/>
                        <wp:effectExtent l="19050" t="0" r="0" b="0"/>
                        <wp:docPr id="2" name="Picture 1" descr="http://economictimes.indiatimes.com/photo/52069894.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times.indiatimes.com/photo/52069894.cms"/>
                                <pic:cNvPicPr>
                                  <a:picLocks noChangeAspect="1" noChangeArrowheads="1"/>
                                </pic:cNvPicPr>
                              </pic:nvPicPr>
                              <pic:blipFill>
                                <a:blip r:embed="rId10"/>
                                <a:srcRect/>
                                <a:stretch>
                                  <a:fillRect/>
                                </a:stretch>
                              </pic:blipFill>
                              <pic:spPr bwMode="auto">
                                <a:xfrm>
                                  <a:off x="0" y="0"/>
                                  <a:ext cx="4440871" cy="2182152"/>
                                </a:xfrm>
                                <a:prstGeom prst="rect">
                                  <a:avLst/>
                                </a:prstGeom>
                                <a:noFill/>
                                <a:ln w="9525">
                                  <a:noFill/>
                                  <a:miter lim="800000"/>
                                  <a:headEnd/>
                                  <a:tailEnd/>
                                </a:ln>
                              </pic:spPr>
                            </pic:pic>
                          </a:graphicData>
                        </a:graphic>
                      </wp:inline>
                    </w:drawing>
                  </w:r>
                </w:p>
              </w:txbxContent>
            </v:textbox>
          </v:shape>
        </w:pict>
      </w:r>
      <w:r w:rsidRPr="00112AD3">
        <w:rPr>
          <w:vertAlign w:val="subscript"/>
        </w:rPr>
        <w:pict>
          <v:shape id="_x0000_s1029" type="#_x0000_t202" style="position:absolute;margin-left:12pt;margin-top:387.7pt;width:366pt;height:147.05pt;z-index:251658240;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9;mso-column-margin:5.76pt" inset="2.88pt,2.88pt,2.88pt,2.88pt">
              <w:txbxContent>
                <w:p w:rsidR="00B5696F" w:rsidRDefault="00886641" w:rsidP="00CF57BB">
                  <w:pPr>
                    <w:pStyle w:val="NormalWeb"/>
                    <w:spacing w:before="0" w:beforeAutospacing="0" w:after="0" w:afterAutospacing="0"/>
                    <w:jc w:val="both"/>
                    <w:rPr>
                      <w:rFonts w:asciiTheme="minorHAnsi" w:hAnsiTheme="minorHAnsi" w:cs="Tahoma"/>
                      <w:b/>
                      <w:color w:val="FFFF00"/>
                      <w:sz w:val="28"/>
                      <w:szCs w:val="28"/>
                    </w:rPr>
                  </w:pPr>
                  <w:r>
                    <w:rPr>
                      <w:rFonts w:asciiTheme="minorHAnsi" w:hAnsiTheme="minorHAnsi" w:cs="Tahoma"/>
                      <w:b/>
                      <w:color w:val="FFFF00"/>
                      <w:sz w:val="28"/>
                      <w:szCs w:val="28"/>
                    </w:rPr>
                    <w:t>Real Estate Appellate Tribunals</w:t>
                  </w:r>
                </w:p>
                <w:p w:rsidR="002C411B" w:rsidRPr="00723010" w:rsidRDefault="002C411B" w:rsidP="00CF57BB">
                  <w:pPr>
                    <w:pStyle w:val="NormalWeb"/>
                    <w:spacing w:before="0" w:beforeAutospacing="0" w:after="0" w:afterAutospacing="0"/>
                    <w:jc w:val="both"/>
                    <w:rPr>
                      <w:rFonts w:asciiTheme="minorHAnsi" w:hAnsiTheme="minorHAnsi" w:cs="Tahoma"/>
                      <w:b/>
                      <w:color w:val="FFFF00"/>
                      <w:sz w:val="28"/>
                      <w:szCs w:val="28"/>
                    </w:rPr>
                  </w:pPr>
                </w:p>
                <w:p w:rsidR="008032D9" w:rsidRPr="002C411B" w:rsidRDefault="007F3872" w:rsidP="00CF57BB">
                  <w:pPr>
                    <w:rPr>
                      <w:rFonts w:ascii="Arial" w:hAnsi="Arial" w:cs="Arial"/>
                      <w:b/>
                      <w:color w:val="FFFFFF" w:themeColor="background1"/>
                      <w:sz w:val="18"/>
                      <w:szCs w:val="18"/>
                      <w:bdr w:val="none" w:sz="0" w:space="0" w:color="auto" w:frame="1"/>
                    </w:rPr>
                  </w:pPr>
                  <w:r w:rsidRPr="002C411B">
                    <w:rPr>
                      <w:rFonts w:ascii="Arial" w:hAnsi="Arial" w:cs="Arial"/>
                      <w:b/>
                      <w:color w:val="FFFFFF" w:themeColor="background1"/>
                      <w:sz w:val="18"/>
                      <w:szCs w:val="18"/>
                      <w:bdr w:val="none" w:sz="0" w:space="0" w:color="auto" w:frame="1"/>
                    </w:rPr>
                    <w:t xml:space="preserve">Once the </w:t>
                  </w:r>
                  <w:proofErr w:type="spellStart"/>
                  <w:r w:rsidRPr="002C411B">
                    <w:rPr>
                      <w:rFonts w:ascii="Arial" w:hAnsi="Arial" w:cs="Arial"/>
                      <w:b/>
                      <w:color w:val="FFFFFF" w:themeColor="background1"/>
                      <w:sz w:val="18"/>
                      <w:szCs w:val="18"/>
                      <w:bdr w:val="none" w:sz="0" w:space="0" w:color="auto" w:frame="1"/>
                    </w:rPr>
                    <w:t>regulatators</w:t>
                  </w:r>
                  <w:proofErr w:type="spellEnd"/>
                  <w:r w:rsidRPr="002C411B">
                    <w:rPr>
                      <w:rFonts w:ascii="Arial" w:hAnsi="Arial" w:cs="Arial"/>
                      <w:b/>
                      <w:color w:val="FFFFFF" w:themeColor="background1"/>
                      <w:sz w:val="18"/>
                      <w:szCs w:val="18"/>
                      <w:bdr w:val="none" w:sz="0" w:space="0" w:color="auto" w:frame="1"/>
                    </w:rPr>
                    <w:t xml:space="preserve"> are set </w:t>
                  </w:r>
                  <w:proofErr w:type="gramStart"/>
                  <w:r w:rsidRPr="002C411B">
                    <w:rPr>
                      <w:rFonts w:ascii="Arial" w:hAnsi="Arial" w:cs="Arial"/>
                      <w:b/>
                      <w:color w:val="FFFFFF" w:themeColor="background1"/>
                      <w:sz w:val="18"/>
                      <w:szCs w:val="18"/>
                      <w:bdr w:val="none" w:sz="0" w:space="0" w:color="auto" w:frame="1"/>
                    </w:rPr>
                    <w:t>up ,</w:t>
                  </w:r>
                  <w:proofErr w:type="gramEnd"/>
                  <w:r w:rsidRPr="002C411B">
                    <w:rPr>
                      <w:rFonts w:ascii="Arial" w:hAnsi="Arial" w:cs="Arial"/>
                      <w:b/>
                      <w:color w:val="FFFFFF" w:themeColor="background1"/>
                      <w:sz w:val="18"/>
                      <w:szCs w:val="18"/>
                      <w:bdr w:val="none" w:sz="0" w:space="0" w:color="auto" w:frame="1"/>
                    </w:rPr>
                    <w:t xml:space="preserve"> they will get three months to formulate </w:t>
                  </w:r>
                  <w:r w:rsidR="008032D9" w:rsidRPr="002C411B">
                    <w:rPr>
                      <w:rFonts w:ascii="Arial" w:hAnsi="Arial" w:cs="Arial"/>
                      <w:b/>
                      <w:color w:val="FFFFFF" w:themeColor="background1"/>
                      <w:sz w:val="18"/>
                      <w:szCs w:val="18"/>
                      <w:bdr w:val="none" w:sz="0" w:space="0" w:color="auto" w:frame="1"/>
                    </w:rPr>
                    <w:t xml:space="preserve">regulations concerning their functioning. Real Estate Appellate Tribunals need to be formed within a year – by April 30, 2017. These fast track tribunals will decide on disputes over orders of the regulators within 60 days. </w:t>
                  </w:r>
                </w:p>
                <w:p w:rsidR="00B5696F" w:rsidRPr="002C411B" w:rsidRDefault="00B5696F" w:rsidP="00CF57BB">
                  <w:pPr>
                    <w:rPr>
                      <w:rFonts w:ascii="Arial" w:hAnsi="Arial" w:cs="Arial"/>
                      <w:b/>
                      <w:color w:val="FFFFFF" w:themeColor="background1"/>
                      <w:sz w:val="18"/>
                      <w:szCs w:val="18"/>
                      <w:bdr w:val="none" w:sz="0" w:space="0" w:color="auto" w:frame="1"/>
                    </w:rPr>
                  </w:pPr>
                </w:p>
                <w:p w:rsidR="00CF57BB" w:rsidRPr="002C411B" w:rsidRDefault="008032D9" w:rsidP="002C411B">
                  <w:pPr>
                    <w:rPr>
                      <w:rFonts w:ascii="Arial" w:hAnsi="Arial" w:cs="Arial"/>
                      <w:color w:val="FFFFFF" w:themeColor="background1"/>
                      <w:sz w:val="18"/>
                      <w:szCs w:val="18"/>
                    </w:rPr>
                  </w:pPr>
                  <w:r w:rsidRPr="002C411B">
                    <w:rPr>
                      <w:rFonts w:ascii="Arial" w:hAnsi="Arial" w:cs="Arial"/>
                      <w:b/>
                      <w:color w:val="FFFFFF" w:themeColor="background1"/>
                      <w:sz w:val="18"/>
                      <w:szCs w:val="18"/>
                      <w:bdr w:val="none" w:sz="0" w:space="0" w:color="auto" w:frame="1"/>
                    </w:rPr>
                    <w:t>A committee chaired by the secretary of the housing ministry has started work on formulation of model rules so that states and UTs can frame their rules quickly, besides ensuring uniformity across the country. The ministry will also come out with model regulations for the regulatory Authorities.</w:t>
                  </w:r>
                  <w:r w:rsidR="00CF57BB" w:rsidRPr="002C411B">
                    <w:rPr>
                      <w:rFonts w:ascii="Arial" w:hAnsi="Arial" w:cs="Arial"/>
                      <w:color w:val="FFFFFF" w:themeColor="background1"/>
                      <w:sz w:val="18"/>
                      <w:szCs w:val="18"/>
                      <w:bdr w:val="none" w:sz="0" w:space="0" w:color="auto" w:frame="1"/>
                    </w:rPr>
                    <w:br/>
                  </w:r>
                </w:p>
              </w:txbxContent>
            </v:textbox>
          </v:shape>
        </w:pict>
      </w:r>
    </w:p>
    <w:p w:rsidR="00F64E11" w:rsidRDefault="00112AD3">
      <w:r w:rsidRPr="00112AD3">
        <w:rPr>
          <w:noProof/>
          <w:vertAlign w:val="subscript"/>
          <w:lang w:val="ru-RU" w:eastAsia="ru-RU"/>
        </w:rPr>
        <w:pict>
          <v:shape id="_x0000_s1031" type="#_x0000_t202" style="position:absolute;margin-left:14.25pt;margin-top:519.15pt;width:5in;height:132.75pt;z-index:251660288;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1;mso-column-margin:5.76pt" inset="2.88pt,2.88pt,2.88pt,2.88pt">
              <w:txbxContent>
                <w:p w:rsidR="002C411B" w:rsidRDefault="00886641" w:rsidP="00CF57BB">
                  <w:pPr>
                    <w:pStyle w:val="NormalWeb"/>
                    <w:spacing w:before="0" w:beforeAutospacing="0" w:after="0" w:afterAutospacing="0"/>
                    <w:jc w:val="both"/>
                    <w:rPr>
                      <w:rFonts w:asciiTheme="minorHAnsi" w:hAnsiTheme="minorHAnsi" w:cs="Tahoma"/>
                      <w:b/>
                      <w:color w:val="FFFF00"/>
                      <w:sz w:val="28"/>
                      <w:szCs w:val="28"/>
                    </w:rPr>
                  </w:pPr>
                  <w:r>
                    <w:rPr>
                      <w:rFonts w:asciiTheme="minorHAnsi" w:hAnsiTheme="minorHAnsi" w:cs="Tahoma"/>
                      <w:b/>
                      <w:color w:val="FFFF00"/>
                      <w:sz w:val="28"/>
                      <w:szCs w:val="28"/>
                    </w:rPr>
                    <w:t>Real Estate Regulatory Act</w:t>
                  </w:r>
                </w:p>
                <w:p w:rsidR="002C411B" w:rsidRPr="00041A79" w:rsidRDefault="002C411B" w:rsidP="00CF57BB">
                  <w:pPr>
                    <w:pStyle w:val="NormalWeb"/>
                    <w:spacing w:before="0" w:beforeAutospacing="0" w:after="0" w:afterAutospacing="0"/>
                    <w:jc w:val="both"/>
                    <w:rPr>
                      <w:rFonts w:asciiTheme="minorHAnsi" w:hAnsiTheme="minorHAnsi" w:cs="Tahoma"/>
                      <w:b/>
                      <w:color w:val="FFFF00"/>
                      <w:sz w:val="28"/>
                      <w:szCs w:val="28"/>
                    </w:rPr>
                  </w:pPr>
                </w:p>
                <w:p w:rsidR="00CF57BB" w:rsidRPr="002C411B" w:rsidRDefault="008032D9" w:rsidP="00CF57BB">
                  <w:pPr>
                    <w:pStyle w:val="NormalWeb"/>
                    <w:spacing w:before="0" w:beforeAutospacing="0" w:after="0" w:afterAutospacing="0"/>
                    <w:jc w:val="both"/>
                    <w:rPr>
                      <w:rStyle w:val="Emphasis"/>
                      <w:rFonts w:ascii="Arial" w:hAnsi="Arial" w:cs="Arial"/>
                      <w:b/>
                      <w:i w:val="0"/>
                      <w:color w:val="FFFFFF" w:themeColor="background1"/>
                      <w:sz w:val="18"/>
                      <w:szCs w:val="18"/>
                      <w:bdr w:val="none" w:sz="0" w:space="0" w:color="auto" w:frame="1"/>
                    </w:rPr>
                  </w:pPr>
                  <w:r w:rsidRPr="002C411B">
                    <w:rPr>
                      <w:rStyle w:val="Emphasis"/>
                      <w:rFonts w:ascii="Arial" w:hAnsi="Arial" w:cs="Arial"/>
                      <w:b/>
                      <w:i w:val="0"/>
                      <w:color w:val="FFFFFF" w:themeColor="background1"/>
                      <w:sz w:val="18"/>
                      <w:szCs w:val="18"/>
                      <w:bdr w:val="none" w:sz="0" w:space="0" w:color="auto" w:frame="1"/>
                    </w:rPr>
                    <w:t xml:space="preserve">The remaining sections of the act that have to be notifies relate to aspects such as the functions and duties of promoters, rights and duties of </w:t>
                  </w:r>
                  <w:proofErr w:type="spellStart"/>
                  <w:r w:rsidRPr="002C411B">
                    <w:rPr>
                      <w:rStyle w:val="Emphasis"/>
                      <w:rFonts w:ascii="Arial" w:hAnsi="Arial" w:cs="Arial"/>
                      <w:b/>
                      <w:i w:val="0"/>
                      <w:color w:val="FFFFFF" w:themeColor="background1"/>
                      <w:sz w:val="18"/>
                      <w:szCs w:val="18"/>
                      <w:bdr w:val="none" w:sz="0" w:space="0" w:color="auto" w:frame="1"/>
                    </w:rPr>
                    <w:t>allotees</w:t>
                  </w:r>
                  <w:proofErr w:type="spellEnd"/>
                  <w:r w:rsidRPr="002C411B">
                    <w:rPr>
                      <w:rStyle w:val="Emphasis"/>
                      <w:rFonts w:ascii="Arial" w:hAnsi="Arial" w:cs="Arial"/>
                      <w:b/>
                      <w:i w:val="0"/>
                      <w:color w:val="FFFFFF" w:themeColor="background1"/>
                      <w:sz w:val="18"/>
                      <w:szCs w:val="18"/>
                      <w:bdr w:val="none" w:sz="0" w:space="0" w:color="auto" w:frame="1"/>
                    </w:rPr>
                    <w:t>, prior registration of real estate projects with the regulatory authorities, recovery of interest on penalties, enforcement of orders, offences, penalties and adjudication.</w:t>
                  </w:r>
                </w:p>
                <w:p w:rsidR="00B5696F" w:rsidRPr="002C411B" w:rsidRDefault="00B5696F" w:rsidP="00CF57BB">
                  <w:pPr>
                    <w:pStyle w:val="NormalWeb"/>
                    <w:spacing w:before="0" w:beforeAutospacing="0" w:after="0" w:afterAutospacing="0"/>
                    <w:jc w:val="both"/>
                    <w:rPr>
                      <w:rStyle w:val="Emphasis"/>
                      <w:rFonts w:ascii="Arial" w:hAnsi="Arial" w:cs="Arial"/>
                      <w:b/>
                      <w:i w:val="0"/>
                      <w:color w:val="FFFFFF" w:themeColor="background1"/>
                      <w:sz w:val="18"/>
                      <w:szCs w:val="18"/>
                      <w:bdr w:val="none" w:sz="0" w:space="0" w:color="auto" w:frame="1"/>
                    </w:rPr>
                  </w:pPr>
                </w:p>
                <w:p w:rsidR="008032D9" w:rsidRPr="002C411B" w:rsidRDefault="008032D9" w:rsidP="00CF57BB">
                  <w:pPr>
                    <w:pStyle w:val="NormalWeb"/>
                    <w:spacing w:before="0" w:beforeAutospacing="0" w:after="0" w:afterAutospacing="0"/>
                    <w:jc w:val="both"/>
                    <w:rPr>
                      <w:rStyle w:val="Emphasis"/>
                      <w:rFonts w:asciiTheme="minorHAnsi" w:hAnsiTheme="minorHAnsi" w:cs="Tahoma"/>
                      <w:b/>
                      <w:i w:val="0"/>
                      <w:color w:val="FFFFFF" w:themeColor="background1"/>
                      <w:sz w:val="20"/>
                      <w:szCs w:val="20"/>
                      <w:bdr w:val="none" w:sz="0" w:space="0" w:color="auto" w:frame="1"/>
                    </w:rPr>
                  </w:pPr>
                  <w:r w:rsidRPr="002C411B">
                    <w:rPr>
                      <w:rStyle w:val="Emphasis"/>
                      <w:rFonts w:ascii="Arial" w:hAnsi="Arial" w:cs="Arial"/>
                      <w:b/>
                      <w:i w:val="0"/>
                      <w:color w:val="FFFFFF" w:themeColor="background1"/>
                      <w:sz w:val="18"/>
                      <w:szCs w:val="18"/>
                      <w:bdr w:val="none" w:sz="0" w:space="0" w:color="auto" w:frame="1"/>
                    </w:rPr>
                    <w:t>Considering that there are 12 months left for the regulatory authorities to be set up by the states</w:t>
                  </w:r>
                  <w:r w:rsidR="00B5696F" w:rsidRPr="002C411B">
                    <w:rPr>
                      <w:rStyle w:val="Emphasis"/>
                      <w:rFonts w:ascii="Arial" w:hAnsi="Arial" w:cs="Arial"/>
                      <w:b/>
                      <w:i w:val="0"/>
                      <w:color w:val="FFFFFF" w:themeColor="background1"/>
                      <w:sz w:val="18"/>
                      <w:szCs w:val="18"/>
                      <w:bdr w:val="none" w:sz="0" w:space="0" w:color="auto" w:frame="1"/>
                    </w:rPr>
                    <w:t xml:space="preserve">, builders are expected to speed up work to avoid the </w:t>
                  </w:r>
                  <w:proofErr w:type="spellStart"/>
                  <w:r w:rsidR="00B5696F" w:rsidRPr="002C411B">
                    <w:rPr>
                      <w:rStyle w:val="Emphasis"/>
                      <w:rFonts w:ascii="Arial" w:hAnsi="Arial" w:cs="Arial"/>
                      <w:b/>
                      <w:i w:val="0"/>
                      <w:color w:val="FFFFFF" w:themeColor="background1"/>
                      <w:sz w:val="18"/>
                      <w:szCs w:val="18"/>
                      <w:bdr w:val="none" w:sz="0" w:space="0" w:color="auto" w:frame="1"/>
                    </w:rPr>
                    <w:t>stringnent</w:t>
                  </w:r>
                  <w:proofErr w:type="spellEnd"/>
                  <w:r w:rsidR="00B5696F" w:rsidRPr="002C411B">
                    <w:rPr>
                      <w:rStyle w:val="Emphasis"/>
                      <w:rFonts w:ascii="Arial" w:hAnsi="Arial" w:cs="Arial"/>
                      <w:b/>
                      <w:i w:val="0"/>
                      <w:color w:val="FFFFFF" w:themeColor="background1"/>
                      <w:sz w:val="18"/>
                      <w:szCs w:val="18"/>
                      <w:bdr w:val="none" w:sz="0" w:space="0" w:color="auto" w:frame="1"/>
                    </w:rPr>
                    <w:t xml:space="preserve"> provisions of the new real estate regulatory act</w:t>
                  </w:r>
                  <w:r w:rsidR="00B5696F" w:rsidRPr="002C411B">
                    <w:rPr>
                      <w:rStyle w:val="Emphasis"/>
                      <w:rFonts w:asciiTheme="minorHAnsi" w:hAnsiTheme="minorHAnsi" w:cs="Tahoma"/>
                      <w:b/>
                      <w:i w:val="0"/>
                      <w:color w:val="FFFFFF" w:themeColor="background1"/>
                      <w:sz w:val="20"/>
                      <w:szCs w:val="20"/>
                      <w:bdr w:val="none" w:sz="0" w:space="0" w:color="auto" w:frame="1"/>
                    </w:rPr>
                    <w:t>.</w:t>
                  </w:r>
                </w:p>
                <w:p w:rsidR="00CF57BB" w:rsidRPr="002C411B" w:rsidRDefault="00CF57BB" w:rsidP="00CF57BB">
                  <w:pPr>
                    <w:rPr>
                      <w:rFonts w:asciiTheme="minorHAnsi" w:hAnsiTheme="minorHAnsi" w:cs="Arial"/>
                      <w:b/>
                      <w:color w:val="FFFFFF" w:themeColor="background1"/>
                      <w:sz w:val="48"/>
                      <w:szCs w:val="48"/>
                    </w:rPr>
                  </w:pPr>
                </w:p>
                <w:p w:rsidR="008032D9" w:rsidRPr="00041A79" w:rsidRDefault="008032D9" w:rsidP="00CF57BB">
                  <w:pPr>
                    <w:rPr>
                      <w:rFonts w:asciiTheme="minorHAnsi" w:hAnsiTheme="minorHAnsi" w:cs="Arial"/>
                      <w:color w:val="FFFFFF" w:themeColor="background1"/>
                      <w:sz w:val="48"/>
                      <w:szCs w:val="48"/>
                    </w:rPr>
                  </w:pPr>
                </w:p>
              </w:txbxContent>
            </v:textbox>
          </v:shape>
        </w:pict>
      </w:r>
      <w:r w:rsidRPr="00112AD3">
        <w:rPr>
          <w:noProof/>
          <w:vertAlign w:val="subscript"/>
          <w:lang w:val="ru-RU" w:eastAsia="ru-RU"/>
        </w:rPr>
        <w:pict>
          <v:shape id="_x0000_s1030" type="#_x0000_t202" style="position:absolute;margin-left:396.75pt;margin-top:655.5pt;width:205.5pt;height:124.5pt;z-index:251659264;mso-wrap-distance-left:2.88pt;mso-wrap-distance-top:2.88pt;mso-wrap-distance-right:2.88pt;mso-wrap-distance-bottom:2.88pt;mso-position-vertical-relative:page"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0;mso-column-margin:5.76pt" inset="2.88pt,2.88pt,2.88pt,2.88pt">
              <w:txbxContent>
                <w:p w:rsidR="00CF57BB" w:rsidRPr="00174C9C" w:rsidRDefault="00CF57BB" w:rsidP="00CF57BB">
                  <w:pPr>
                    <w:rPr>
                      <w:rFonts w:ascii="Arial" w:hAnsi="Arial" w:cs="Arial"/>
                      <w:b/>
                      <w:color w:val="C00000"/>
                      <w:sz w:val="28"/>
                      <w:szCs w:val="28"/>
                    </w:rPr>
                  </w:pPr>
                  <w:r w:rsidRPr="00174C9C">
                    <w:rPr>
                      <w:rFonts w:ascii="Arial" w:hAnsi="Arial" w:cs="Arial"/>
                      <w:b/>
                      <w:color w:val="C00000"/>
                      <w:sz w:val="28"/>
                      <w:szCs w:val="28"/>
                      <w:highlight w:val="yellow"/>
                    </w:rPr>
                    <w:t xml:space="preserve">Au Fait Fincare </w:t>
                  </w:r>
                  <w:proofErr w:type="spellStart"/>
                  <w:r w:rsidRPr="00174C9C">
                    <w:rPr>
                      <w:rFonts w:ascii="Arial" w:hAnsi="Arial" w:cs="Arial"/>
                      <w:b/>
                      <w:color w:val="C00000"/>
                      <w:sz w:val="28"/>
                      <w:szCs w:val="28"/>
                      <w:highlight w:val="yellow"/>
                    </w:rPr>
                    <w:t>Pvt</w:t>
                  </w:r>
                  <w:proofErr w:type="spellEnd"/>
                  <w:r w:rsidRPr="00174C9C">
                    <w:rPr>
                      <w:rFonts w:ascii="Arial" w:hAnsi="Arial" w:cs="Arial"/>
                      <w:b/>
                      <w:color w:val="C00000"/>
                      <w:sz w:val="28"/>
                      <w:szCs w:val="28"/>
                      <w:highlight w:val="yellow"/>
                    </w:rPr>
                    <w:t xml:space="preserve"> Ltd.</w:t>
                  </w:r>
                </w:p>
                <w:p w:rsidR="0008264B" w:rsidRDefault="0008264B" w:rsidP="00CF57BB">
                  <w:pPr>
                    <w:rPr>
                      <w:rFonts w:ascii="Arial" w:hAnsi="Arial" w:cs="Arial"/>
                      <w:b/>
                      <w:color w:val="FFFFFF" w:themeColor="background1"/>
                      <w:sz w:val="22"/>
                      <w:szCs w:val="22"/>
                    </w:rPr>
                  </w:pPr>
                </w:p>
                <w:p w:rsidR="001E1844" w:rsidRDefault="00CF57BB" w:rsidP="00CF57BB">
                  <w:pPr>
                    <w:rPr>
                      <w:rFonts w:ascii="Arial" w:hAnsi="Arial" w:cs="Arial"/>
                      <w:b/>
                      <w:color w:val="FFFFFF" w:themeColor="background1"/>
                      <w:sz w:val="22"/>
                      <w:szCs w:val="22"/>
                    </w:rPr>
                  </w:pPr>
                  <w:r w:rsidRPr="007449E8">
                    <w:rPr>
                      <w:rFonts w:ascii="Arial" w:hAnsi="Arial" w:cs="Arial"/>
                      <w:b/>
                      <w:color w:val="FFFFFF" w:themeColor="background1"/>
                      <w:sz w:val="22"/>
                      <w:szCs w:val="22"/>
                    </w:rPr>
                    <w:t xml:space="preserve">Office </w:t>
                  </w:r>
                  <w:proofErr w:type="gramStart"/>
                  <w:r w:rsidRPr="007449E8">
                    <w:rPr>
                      <w:rFonts w:ascii="Arial" w:hAnsi="Arial" w:cs="Arial"/>
                      <w:b/>
                      <w:color w:val="FFFFFF" w:themeColor="background1"/>
                      <w:sz w:val="22"/>
                      <w:szCs w:val="22"/>
                    </w:rPr>
                    <w:t>Address :</w:t>
                  </w:r>
                  <w:proofErr w:type="gramEnd"/>
                  <w:r w:rsidRPr="007449E8">
                    <w:rPr>
                      <w:rFonts w:ascii="Arial" w:hAnsi="Arial" w:cs="Arial"/>
                      <w:b/>
                      <w:color w:val="FFFFFF" w:themeColor="background1"/>
                      <w:sz w:val="22"/>
                      <w:szCs w:val="22"/>
                    </w:rPr>
                    <w:t xml:space="preserve">- </w:t>
                  </w:r>
                </w:p>
                <w:p w:rsidR="00886641" w:rsidRPr="007449E8" w:rsidRDefault="00886641" w:rsidP="00CF57BB">
                  <w:pPr>
                    <w:rPr>
                      <w:rFonts w:ascii="Arial" w:hAnsi="Arial" w:cs="Arial"/>
                      <w:b/>
                      <w:color w:val="FFFFFF" w:themeColor="background1"/>
                      <w:sz w:val="22"/>
                      <w:szCs w:val="22"/>
                    </w:rPr>
                  </w:pPr>
                </w:p>
                <w:p w:rsidR="0008264B" w:rsidRDefault="00CF57BB" w:rsidP="00CF57BB">
                  <w:pPr>
                    <w:rPr>
                      <w:rFonts w:ascii="Arial" w:hAnsi="Arial" w:cs="Arial"/>
                      <w:b/>
                      <w:color w:val="FFFFFF" w:themeColor="background1"/>
                      <w:sz w:val="22"/>
                      <w:szCs w:val="22"/>
                    </w:rPr>
                  </w:pPr>
                  <w:r w:rsidRPr="007449E8">
                    <w:rPr>
                      <w:rFonts w:ascii="Arial" w:hAnsi="Arial" w:cs="Arial"/>
                      <w:b/>
                      <w:color w:val="FFFFFF" w:themeColor="background1"/>
                      <w:sz w:val="22"/>
                      <w:szCs w:val="22"/>
                    </w:rPr>
                    <w:t>301</w:t>
                  </w:r>
                  <w:proofErr w:type="gramStart"/>
                  <w:r w:rsidRPr="007449E8">
                    <w:rPr>
                      <w:rFonts w:ascii="Arial" w:hAnsi="Arial" w:cs="Arial"/>
                      <w:b/>
                      <w:color w:val="FFFFFF" w:themeColor="background1"/>
                      <w:sz w:val="22"/>
                      <w:szCs w:val="22"/>
                    </w:rPr>
                    <w:t>,Chanakya</w:t>
                  </w:r>
                  <w:proofErr w:type="gramEnd"/>
                  <w:r w:rsidRPr="007449E8">
                    <w:rPr>
                      <w:rFonts w:ascii="Arial" w:hAnsi="Arial" w:cs="Arial"/>
                      <w:b/>
                      <w:color w:val="FFFFFF" w:themeColor="background1"/>
                      <w:sz w:val="22"/>
                      <w:szCs w:val="22"/>
                    </w:rPr>
                    <w:t xml:space="preserve"> Complex, </w:t>
                  </w:r>
                </w:p>
                <w:p w:rsidR="00CF57BB" w:rsidRDefault="00CF57BB" w:rsidP="00CF57BB">
                  <w:pPr>
                    <w:rPr>
                      <w:rFonts w:ascii="Arial" w:hAnsi="Arial" w:cs="Arial"/>
                      <w:b/>
                      <w:color w:val="FFFFFF" w:themeColor="background1"/>
                      <w:sz w:val="22"/>
                      <w:szCs w:val="22"/>
                    </w:rPr>
                  </w:pPr>
                  <w:r w:rsidRPr="007449E8">
                    <w:rPr>
                      <w:rFonts w:ascii="Arial" w:hAnsi="Arial" w:cs="Arial"/>
                      <w:b/>
                      <w:color w:val="FFFFFF" w:themeColor="background1"/>
                      <w:sz w:val="22"/>
                      <w:szCs w:val="22"/>
                    </w:rPr>
                    <w:t>B</w:t>
                  </w:r>
                  <w:r w:rsidR="0008264B">
                    <w:rPr>
                      <w:rFonts w:ascii="Arial" w:hAnsi="Arial" w:cs="Arial"/>
                      <w:b/>
                      <w:color w:val="FFFFFF" w:themeColor="background1"/>
                      <w:sz w:val="22"/>
                      <w:szCs w:val="22"/>
                    </w:rPr>
                    <w:t xml:space="preserve">- </w:t>
                  </w:r>
                  <w:r w:rsidRPr="007449E8">
                    <w:rPr>
                      <w:rFonts w:ascii="Arial" w:hAnsi="Arial" w:cs="Arial"/>
                      <w:b/>
                      <w:color w:val="FFFFFF" w:themeColor="background1"/>
                      <w:sz w:val="22"/>
                      <w:szCs w:val="22"/>
                    </w:rPr>
                    <w:t>10</w:t>
                  </w:r>
                  <w:proofErr w:type="gramStart"/>
                  <w:r w:rsidRPr="007449E8">
                    <w:rPr>
                      <w:rFonts w:ascii="Arial" w:hAnsi="Arial" w:cs="Arial"/>
                      <w:b/>
                      <w:color w:val="FFFFFF" w:themeColor="background1"/>
                      <w:sz w:val="22"/>
                      <w:szCs w:val="22"/>
                    </w:rPr>
                    <w:t>,Subhash</w:t>
                  </w:r>
                  <w:proofErr w:type="gramEnd"/>
                  <w:r w:rsidRPr="007449E8">
                    <w:rPr>
                      <w:rFonts w:ascii="Arial" w:hAnsi="Arial" w:cs="Arial"/>
                      <w:b/>
                      <w:color w:val="FFFFFF" w:themeColor="background1"/>
                      <w:sz w:val="22"/>
                      <w:szCs w:val="22"/>
                    </w:rPr>
                    <w:t xml:space="preserve"> Chowk, Laxmi Nagar, Delhi – 110092</w:t>
                  </w:r>
                </w:p>
                <w:p w:rsidR="00886641" w:rsidRPr="007449E8" w:rsidRDefault="00886641" w:rsidP="00CF57BB">
                  <w:pPr>
                    <w:rPr>
                      <w:rFonts w:ascii="Arial" w:hAnsi="Arial" w:cs="Arial"/>
                      <w:b/>
                      <w:color w:val="FFFFFF" w:themeColor="background1"/>
                      <w:sz w:val="22"/>
                      <w:szCs w:val="22"/>
                    </w:rPr>
                  </w:pPr>
                </w:p>
                <w:p w:rsidR="00CF57BB" w:rsidRPr="007449E8" w:rsidRDefault="00CF57BB" w:rsidP="00CF57BB">
                  <w:pPr>
                    <w:rPr>
                      <w:rFonts w:ascii="Arial" w:hAnsi="Arial" w:cs="Arial"/>
                      <w:b/>
                      <w:color w:val="FFFFFF" w:themeColor="background1"/>
                      <w:sz w:val="22"/>
                      <w:szCs w:val="22"/>
                    </w:rPr>
                  </w:pPr>
                  <w:proofErr w:type="gramStart"/>
                  <w:r w:rsidRPr="007449E8">
                    <w:rPr>
                      <w:rFonts w:ascii="Arial" w:hAnsi="Arial" w:cs="Arial"/>
                      <w:b/>
                      <w:color w:val="FFFFFF" w:themeColor="background1"/>
                      <w:sz w:val="22"/>
                      <w:szCs w:val="22"/>
                    </w:rPr>
                    <w:t>Website :</w:t>
                  </w:r>
                  <w:proofErr w:type="gramEnd"/>
                  <w:r w:rsidRPr="007449E8">
                    <w:rPr>
                      <w:rFonts w:ascii="Arial" w:hAnsi="Arial" w:cs="Arial"/>
                      <w:b/>
                      <w:color w:val="FFFFFF" w:themeColor="background1"/>
                      <w:sz w:val="22"/>
                      <w:szCs w:val="22"/>
                    </w:rPr>
                    <w:t xml:space="preserve"> </w:t>
                  </w:r>
                  <w:hyperlink r:id="rId11" w:history="1">
                    <w:r w:rsidRPr="007449E8">
                      <w:rPr>
                        <w:rStyle w:val="Hyperlink"/>
                        <w:rFonts w:ascii="Arial" w:hAnsi="Arial" w:cs="Arial"/>
                        <w:b/>
                        <w:color w:val="FFFFFF" w:themeColor="background1"/>
                        <w:sz w:val="22"/>
                        <w:szCs w:val="22"/>
                      </w:rPr>
                      <w:t>www.aufaitfincare.com</w:t>
                    </w:r>
                  </w:hyperlink>
                </w:p>
                <w:p w:rsidR="00CF57BB" w:rsidRPr="007449E8" w:rsidRDefault="00CF57BB" w:rsidP="00CF57BB">
                  <w:pPr>
                    <w:rPr>
                      <w:rFonts w:ascii="Arial" w:hAnsi="Arial" w:cs="Arial"/>
                      <w:color w:val="FFFFFF" w:themeColor="background1"/>
                      <w:sz w:val="22"/>
                      <w:szCs w:val="22"/>
                    </w:rPr>
                  </w:pPr>
                </w:p>
                <w:p w:rsidR="00CF57BB" w:rsidRPr="007449E8" w:rsidRDefault="00CF57BB" w:rsidP="00CF57BB">
                  <w:pPr>
                    <w:rPr>
                      <w:rFonts w:ascii="Arial" w:hAnsi="Arial" w:cs="Arial"/>
                      <w:color w:val="FFFFFF" w:themeColor="background1"/>
                      <w:sz w:val="22"/>
                      <w:szCs w:val="22"/>
                    </w:rPr>
                  </w:pPr>
                </w:p>
              </w:txbxContent>
            </v:textbox>
            <w10:wrap anchory="page"/>
          </v:shape>
        </w:pict>
      </w:r>
      <w:r w:rsidRPr="00112AD3">
        <w:rPr>
          <w:noProof/>
          <w:vertAlign w:val="subscript"/>
          <w:lang w:val="ru-RU" w:eastAsia="ru-RU"/>
        </w:rPr>
        <w:pict>
          <v:shape id="_x0000_s1032" type="#_x0000_t202" style="position:absolute;margin-left:396.75pt;margin-top:116pt;width:205.5pt;height:469.6pt;z-index:251661312;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2;mso-column-margin:5.76pt" inset="2.88pt,2.88pt,2.88pt,2.88pt">
              <w:txbxContent>
                <w:p w:rsidR="00886641" w:rsidRDefault="00886641" w:rsidP="00886641">
                  <w:pPr>
                    <w:pStyle w:val="NormalWeb"/>
                    <w:spacing w:before="0" w:beforeAutospacing="0" w:after="0" w:afterAutospacing="0"/>
                    <w:jc w:val="both"/>
                    <w:rPr>
                      <w:rFonts w:asciiTheme="minorHAnsi" w:hAnsiTheme="minorHAnsi" w:cs="Tahoma"/>
                      <w:b/>
                      <w:color w:val="FFFF00"/>
                      <w:sz w:val="28"/>
                      <w:szCs w:val="28"/>
                    </w:rPr>
                  </w:pPr>
                  <w:r>
                    <w:rPr>
                      <w:rFonts w:asciiTheme="minorHAnsi" w:hAnsiTheme="minorHAnsi" w:cs="Tahoma"/>
                      <w:b/>
                      <w:color w:val="FFFF00"/>
                      <w:sz w:val="28"/>
                      <w:szCs w:val="28"/>
                    </w:rPr>
                    <w:t>Section 20 of the Act</w:t>
                  </w:r>
                </w:p>
                <w:p w:rsidR="002C411B" w:rsidRPr="007851AD" w:rsidRDefault="002C411B" w:rsidP="00886641">
                  <w:pPr>
                    <w:pStyle w:val="NormalWeb"/>
                    <w:spacing w:before="0" w:beforeAutospacing="0" w:after="0" w:afterAutospacing="0"/>
                    <w:jc w:val="both"/>
                    <w:rPr>
                      <w:rFonts w:asciiTheme="minorHAnsi" w:hAnsiTheme="minorHAnsi" w:cs="Tahoma"/>
                      <w:b/>
                      <w:color w:val="FFFF00"/>
                      <w:sz w:val="28"/>
                      <w:szCs w:val="28"/>
                    </w:rPr>
                  </w:pPr>
                </w:p>
                <w:p w:rsidR="00886641" w:rsidRDefault="00886641" w:rsidP="002C411B">
                  <w:pPr>
                    <w:pStyle w:val="NormalWeb"/>
                    <w:spacing w:before="0" w:beforeAutospacing="0" w:after="0" w:afterAutospacing="0"/>
                    <w:jc w:val="both"/>
                    <w:rPr>
                      <w:rStyle w:val="Emphasis"/>
                      <w:rFonts w:ascii="Arial" w:hAnsi="Arial" w:cs="Arial"/>
                      <w:b/>
                      <w:i w:val="0"/>
                      <w:color w:val="FFFFFF" w:themeColor="background1"/>
                      <w:sz w:val="18"/>
                      <w:szCs w:val="18"/>
                      <w:bdr w:val="none" w:sz="0" w:space="0" w:color="auto" w:frame="1"/>
                    </w:rPr>
                  </w:pPr>
                  <w:r w:rsidRPr="002C411B">
                    <w:rPr>
                      <w:rStyle w:val="Emphasis"/>
                      <w:rFonts w:ascii="Arial" w:hAnsi="Arial" w:cs="Arial"/>
                      <w:b/>
                      <w:i w:val="0"/>
                      <w:color w:val="FFFFFF" w:themeColor="background1"/>
                      <w:sz w:val="18"/>
                      <w:szCs w:val="18"/>
                      <w:bdr w:val="none" w:sz="0" w:space="0" w:color="auto" w:frame="1"/>
                    </w:rPr>
                    <w:t xml:space="preserve">According to Section 20 of the act, state governments have to establish the regulatory authorities within one year of the law coming into force. </w:t>
                  </w:r>
                  <w:proofErr w:type="gramStart"/>
                  <w:r w:rsidRPr="002C411B">
                    <w:rPr>
                      <w:rStyle w:val="Emphasis"/>
                      <w:rFonts w:ascii="Arial" w:hAnsi="Arial" w:cs="Arial"/>
                      <w:b/>
                      <w:i w:val="0"/>
                      <w:color w:val="FFFFFF" w:themeColor="background1"/>
                      <w:sz w:val="18"/>
                      <w:szCs w:val="18"/>
                      <w:bdr w:val="none" w:sz="0" w:space="0" w:color="auto" w:frame="1"/>
                    </w:rPr>
                    <w:t>The Authorities within one year of the law coming into force.</w:t>
                  </w:r>
                  <w:proofErr w:type="gramEnd"/>
                  <w:r w:rsidRPr="002C411B">
                    <w:rPr>
                      <w:rStyle w:val="Emphasis"/>
                      <w:rFonts w:ascii="Arial" w:hAnsi="Arial" w:cs="Arial"/>
                      <w:b/>
                      <w:i w:val="0"/>
                      <w:color w:val="FFFFFF" w:themeColor="background1"/>
                      <w:sz w:val="18"/>
                      <w:szCs w:val="18"/>
                      <w:bdr w:val="none" w:sz="0" w:space="0" w:color="auto" w:frame="1"/>
                    </w:rPr>
                    <w:t xml:space="preserve"> These authorities will decide on the complaints of buyers and developers in 60 days.</w:t>
                  </w:r>
                </w:p>
                <w:p w:rsidR="002C411B" w:rsidRPr="002C411B" w:rsidRDefault="002C411B" w:rsidP="002C411B">
                  <w:pPr>
                    <w:pStyle w:val="NormalWeb"/>
                    <w:spacing w:before="0" w:beforeAutospacing="0" w:after="0" w:afterAutospacing="0"/>
                    <w:jc w:val="both"/>
                    <w:rPr>
                      <w:rStyle w:val="Emphasis"/>
                      <w:rFonts w:ascii="Arial" w:hAnsi="Arial" w:cs="Arial"/>
                      <w:b/>
                      <w:i w:val="0"/>
                      <w:color w:val="FFFFFF" w:themeColor="background1"/>
                      <w:sz w:val="18"/>
                      <w:szCs w:val="18"/>
                      <w:bdr w:val="none" w:sz="0" w:space="0" w:color="auto" w:frame="1"/>
                    </w:rPr>
                  </w:pPr>
                </w:p>
                <w:p w:rsidR="00886641" w:rsidRPr="002C411B" w:rsidRDefault="00A3148D" w:rsidP="002C411B">
                  <w:pPr>
                    <w:pStyle w:val="NormalWeb"/>
                    <w:spacing w:before="0" w:beforeAutospacing="0" w:after="0" w:afterAutospacing="0"/>
                    <w:jc w:val="both"/>
                    <w:rPr>
                      <w:rStyle w:val="Emphasis"/>
                      <w:rFonts w:ascii="Arial" w:hAnsi="Arial" w:cs="Arial"/>
                      <w:b/>
                      <w:i w:val="0"/>
                      <w:color w:val="FFFFFF" w:themeColor="background1"/>
                      <w:sz w:val="18"/>
                      <w:szCs w:val="18"/>
                      <w:bdr w:val="none" w:sz="0" w:space="0" w:color="auto" w:frame="1"/>
                    </w:rPr>
                  </w:pPr>
                  <w:r w:rsidRPr="002C411B">
                    <w:rPr>
                      <w:rStyle w:val="Emphasis"/>
                      <w:rFonts w:ascii="Arial" w:hAnsi="Arial" w:cs="Arial"/>
                      <w:b/>
                      <w:i w:val="0"/>
                      <w:color w:val="FFFFFF" w:themeColor="background1"/>
                      <w:sz w:val="18"/>
                      <w:szCs w:val="18"/>
                      <w:bdr w:val="none" w:sz="0" w:space="0" w:color="auto" w:frame="1"/>
                    </w:rPr>
                    <w:t xml:space="preserve">The act seeks to </w:t>
                  </w:r>
                  <w:r w:rsidR="00886641" w:rsidRPr="002C411B">
                    <w:rPr>
                      <w:rStyle w:val="Emphasis"/>
                      <w:rFonts w:ascii="Arial" w:hAnsi="Arial" w:cs="Arial"/>
                      <w:b/>
                      <w:i w:val="0"/>
                      <w:color w:val="FFFFFF" w:themeColor="background1"/>
                      <w:sz w:val="18"/>
                      <w:szCs w:val="18"/>
                      <w:bdr w:val="none" w:sz="0" w:space="0" w:color="auto" w:frame="1"/>
                    </w:rPr>
                    <w:t xml:space="preserve">protect the rights of home </w:t>
                  </w:r>
                  <w:proofErr w:type="gramStart"/>
                  <w:r w:rsidR="00886641" w:rsidRPr="002C411B">
                    <w:rPr>
                      <w:rStyle w:val="Emphasis"/>
                      <w:rFonts w:ascii="Arial" w:hAnsi="Arial" w:cs="Arial"/>
                      <w:b/>
                      <w:i w:val="0"/>
                      <w:color w:val="FFFFFF" w:themeColor="background1"/>
                      <w:sz w:val="18"/>
                      <w:szCs w:val="18"/>
                      <w:bdr w:val="none" w:sz="0" w:space="0" w:color="auto" w:frame="1"/>
                    </w:rPr>
                    <w:t>buyers ,</w:t>
                  </w:r>
                  <w:proofErr w:type="gramEnd"/>
                  <w:r w:rsidR="00886641" w:rsidRPr="002C411B">
                    <w:rPr>
                      <w:rStyle w:val="Emphasis"/>
                      <w:rFonts w:ascii="Arial" w:hAnsi="Arial" w:cs="Arial"/>
                      <w:b/>
                      <w:i w:val="0"/>
                      <w:color w:val="FFFFFF" w:themeColor="background1"/>
                      <w:sz w:val="18"/>
                      <w:szCs w:val="18"/>
                      <w:bdr w:val="none" w:sz="0" w:space="0" w:color="auto" w:frame="1"/>
                    </w:rPr>
                    <w:t xml:space="preserve"> mandates registration of projects, including those that have not got completion or occupancy certificates.</w:t>
                  </w:r>
                </w:p>
                <w:p w:rsidR="00886641" w:rsidRPr="002C411B" w:rsidRDefault="00886641" w:rsidP="002C411B">
                  <w:pPr>
                    <w:pStyle w:val="NormalWeb"/>
                    <w:spacing w:before="0" w:beforeAutospacing="0" w:after="0" w:afterAutospacing="0"/>
                    <w:jc w:val="both"/>
                    <w:rPr>
                      <w:rStyle w:val="Emphasis"/>
                      <w:rFonts w:ascii="Arial" w:hAnsi="Arial" w:cs="Arial"/>
                      <w:b/>
                      <w:i w:val="0"/>
                      <w:color w:val="FFFFFF" w:themeColor="background1"/>
                      <w:sz w:val="18"/>
                      <w:szCs w:val="18"/>
                      <w:bdr w:val="none" w:sz="0" w:space="0" w:color="auto" w:frame="1"/>
                    </w:rPr>
                  </w:pPr>
                </w:p>
                <w:p w:rsidR="00886641" w:rsidRPr="002C411B" w:rsidRDefault="00886641" w:rsidP="002C411B">
                  <w:pPr>
                    <w:pStyle w:val="NormalWeb"/>
                    <w:spacing w:before="0" w:beforeAutospacing="0" w:after="0" w:afterAutospacing="0"/>
                    <w:jc w:val="both"/>
                    <w:rPr>
                      <w:rStyle w:val="Emphasis"/>
                      <w:rFonts w:ascii="Arial" w:hAnsi="Arial" w:cs="Arial"/>
                      <w:b/>
                      <w:i w:val="0"/>
                      <w:color w:val="FFFFFF" w:themeColor="background1"/>
                      <w:sz w:val="18"/>
                      <w:szCs w:val="18"/>
                      <w:bdr w:val="none" w:sz="0" w:space="0" w:color="auto" w:frame="1"/>
                    </w:rPr>
                  </w:pPr>
                  <w:proofErr w:type="spellStart"/>
                  <w:r w:rsidRPr="002C411B">
                    <w:rPr>
                      <w:rStyle w:val="Emphasis"/>
                      <w:rFonts w:ascii="Arial" w:hAnsi="Arial" w:cs="Arial"/>
                      <w:b/>
                      <w:i w:val="0"/>
                      <w:color w:val="FFFFFF" w:themeColor="background1"/>
                      <w:sz w:val="18"/>
                      <w:szCs w:val="18"/>
                      <w:bdr w:val="none" w:sz="0" w:space="0" w:color="auto" w:frame="1"/>
                    </w:rPr>
                    <w:t>Rgistrations</w:t>
                  </w:r>
                  <w:proofErr w:type="spellEnd"/>
                  <w:r w:rsidRPr="002C411B">
                    <w:rPr>
                      <w:rStyle w:val="Emphasis"/>
                      <w:rFonts w:ascii="Arial" w:hAnsi="Arial" w:cs="Arial"/>
                      <w:b/>
                      <w:i w:val="0"/>
                      <w:color w:val="FFFFFF" w:themeColor="background1"/>
                      <w:sz w:val="18"/>
                      <w:szCs w:val="18"/>
                      <w:bdr w:val="none" w:sz="0" w:space="0" w:color="auto" w:frame="1"/>
                    </w:rPr>
                    <w:t xml:space="preserve"> will require builders to set aside 70% of the funds collected from buyers and pay interest in case of delays. Any Officer preferably the secretary of the department dealing with </w:t>
                  </w:r>
                  <w:proofErr w:type="gramStart"/>
                  <w:r w:rsidRPr="002C411B">
                    <w:rPr>
                      <w:rStyle w:val="Emphasis"/>
                      <w:rFonts w:ascii="Arial" w:hAnsi="Arial" w:cs="Arial"/>
                      <w:b/>
                      <w:i w:val="0"/>
                      <w:color w:val="FFFFFF" w:themeColor="background1"/>
                      <w:sz w:val="18"/>
                      <w:szCs w:val="18"/>
                      <w:bdr w:val="none" w:sz="0" w:space="0" w:color="auto" w:frame="1"/>
                    </w:rPr>
                    <w:t>housing,</w:t>
                  </w:r>
                  <w:proofErr w:type="gramEnd"/>
                  <w:r w:rsidRPr="002C411B">
                    <w:rPr>
                      <w:rStyle w:val="Emphasis"/>
                      <w:rFonts w:ascii="Arial" w:hAnsi="Arial" w:cs="Arial"/>
                      <w:b/>
                      <w:i w:val="0"/>
                      <w:color w:val="FFFFFF" w:themeColor="background1"/>
                      <w:sz w:val="18"/>
                      <w:szCs w:val="18"/>
                      <w:bdr w:val="none" w:sz="0" w:space="0" w:color="auto" w:frame="1"/>
                    </w:rPr>
                    <w:t xml:space="preserve"> can be appointed as the interim regulatory Authority.</w:t>
                  </w:r>
                </w:p>
                <w:p w:rsidR="00CF57BB" w:rsidRDefault="00CF57BB" w:rsidP="00CF57BB">
                  <w:pPr>
                    <w:pStyle w:val="NormalWeb"/>
                    <w:spacing w:before="0" w:beforeAutospacing="0" w:after="0" w:afterAutospacing="0"/>
                    <w:jc w:val="both"/>
                    <w:rPr>
                      <w:rFonts w:asciiTheme="minorHAnsi" w:hAnsiTheme="minorHAnsi" w:cs="Tahoma"/>
                      <w:color w:val="FFFFFF" w:themeColor="background1"/>
                      <w:sz w:val="20"/>
                      <w:szCs w:val="20"/>
                    </w:rPr>
                  </w:pPr>
                </w:p>
                <w:p w:rsidR="00CF57BB" w:rsidRDefault="00CF57BB" w:rsidP="00CF57BB">
                  <w:pPr>
                    <w:pStyle w:val="NormalWeb"/>
                    <w:spacing w:before="0" w:beforeAutospacing="0" w:after="0" w:afterAutospacing="0"/>
                    <w:jc w:val="both"/>
                    <w:rPr>
                      <w:rFonts w:asciiTheme="minorHAnsi" w:hAnsiTheme="minorHAnsi" w:cs="Tahoma"/>
                      <w:color w:val="FFFFFF" w:themeColor="background1"/>
                      <w:sz w:val="20"/>
                      <w:szCs w:val="20"/>
                    </w:rPr>
                  </w:pPr>
                  <w:r w:rsidRPr="008F1853">
                    <w:rPr>
                      <w:rFonts w:asciiTheme="minorHAnsi" w:hAnsiTheme="minorHAnsi" w:cs="Tahoma"/>
                      <w:noProof/>
                      <w:color w:val="FFFFFF" w:themeColor="background1"/>
                      <w:sz w:val="20"/>
                      <w:szCs w:val="20"/>
                    </w:rPr>
                    <w:drawing>
                      <wp:inline distT="0" distB="0" distL="0" distR="0">
                        <wp:extent cx="2411946" cy="2076450"/>
                        <wp:effectExtent l="38100" t="0" r="26454" b="609600"/>
                        <wp:docPr id="4" name="Picture 1" descr="http://www.madhyam.com/news/wp-content/uploads/2016/03/Real-Estate-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hyam.com/news/wp-content/uploads/2016/03/Real-Estate-Bill.jpg"/>
                                <pic:cNvPicPr>
                                  <a:picLocks noChangeAspect="1" noChangeArrowheads="1"/>
                                </pic:cNvPicPr>
                              </pic:nvPicPr>
                              <pic:blipFill>
                                <a:blip r:embed="rId12"/>
                                <a:srcRect/>
                                <a:stretch>
                                  <a:fillRect/>
                                </a:stretch>
                              </pic:blipFill>
                              <pic:spPr bwMode="auto">
                                <a:xfrm>
                                  <a:off x="0" y="0"/>
                                  <a:ext cx="2411946" cy="2076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F57BB" w:rsidRDefault="00CF57BB" w:rsidP="00CF57BB">
                  <w:pPr>
                    <w:pStyle w:val="NormalWeb"/>
                    <w:spacing w:before="0" w:beforeAutospacing="0" w:after="0" w:afterAutospacing="0"/>
                    <w:jc w:val="both"/>
                    <w:rPr>
                      <w:rFonts w:asciiTheme="minorHAnsi" w:hAnsiTheme="minorHAnsi" w:cs="Tahoma"/>
                      <w:color w:val="FFFFFF" w:themeColor="background1"/>
                      <w:sz w:val="20"/>
                      <w:szCs w:val="20"/>
                    </w:rPr>
                  </w:pPr>
                </w:p>
                <w:p w:rsidR="00CF57BB" w:rsidRDefault="00CF57BB" w:rsidP="00CF57BB">
                  <w:pPr>
                    <w:pStyle w:val="NormalWeb"/>
                    <w:spacing w:before="0" w:beforeAutospacing="0" w:after="0" w:afterAutospacing="0"/>
                    <w:jc w:val="both"/>
                    <w:rPr>
                      <w:rFonts w:asciiTheme="minorHAnsi" w:hAnsiTheme="minorHAnsi" w:cs="Tahoma"/>
                      <w:color w:val="FFFFFF" w:themeColor="background1"/>
                      <w:sz w:val="20"/>
                      <w:szCs w:val="20"/>
                    </w:rPr>
                  </w:pPr>
                </w:p>
                <w:p w:rsidR="00CF57BB" w:rsidRDefault="00CF57BB" w:rsidP="00CF57BB">
                  <w:pPr>
                    <w:pStyle w:val="NormalWeb"/>
                    <w:spacing w:before="0" w:beforeAutospacing="0" w:after="0" w:afterAutospacing="0"/>
                    <w:jc w:val="both"/>
                    <w:rPr>
                      <w:rFonts w:asciiTheme="minorHAnsi" w:hAnsiTheme="minorHAnsi" w:cs="Tahoma"/>
                      <w:color w:val="FFFFFF" w:themeColor="background1"/>
                      <w:sz w:val="20"/>
                      <w:szCs w:val="20"/>
                    </w:rPr>
                  </w:pPr>
                </w:p>
                <w:p w:rsidR="00CF57BB" w:rsidRPr="00940D8F" w:rsidRDefault="00CF57BB" w:rsidP="00CF57BB">
                  <w:pPr>
                    <w:pStyle w:val="NormalWeb"/>
                    <w:spacing w:before="0" w:beforeAutospacing="0" w:after="0" w:afterAutospacing="0"/>
                    <w:jc w:val="both"/>
                    <w:rPr>
                      <w:rFonts w:asciiTheme="minorHAnsi" w:hAnsiTheme="minorHAnsi" w:cs="Tahoma"/>
                      <w:color w:val="FFFFFF" w:themeColor="background1"/>
                      <w:sz w:val="20"/>
                      <w:szCs w:val="20"/>
                    </w:rPr>
                  </w:pPr>
                </w:p>
                <w:p w:rsidR="00CF57BB" w:rsidRPr="00B269A2" w:rsidRDefault="00CF57BB" w:rsidP="00CF57BB">
                  <w:pPr>
                    <w:rPr>
                      <w:szCs w:val="20"/>
                    </w:rPr>
                  </w:pPr>
                </w:p>
              </w:txbxContent>
            </v:textbox>
          </v:shape>
        </w:pict>
      </w:r>
    </w:p>
    <w:sectPr w:rsidR="00F64E11" w:rsidSect="00693C1D">
      <w:pgSz w:w="12242" w:h="15842" w:code="1"/>
      <w:pgMar w:top="0" w:right="23"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 Mittelschrift St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3D8D"/>
    <w:multiLevelType w:val="hybridMultilevel"/>
    <w:tmpl w:val="5E0A2144"/>
    <w:lvl w:ilvl="0" w:tplc="4DB21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rsids>
    <w:rsidRoot w:val="00CF57BB"/>
    <w:rsid w:val="000178A2"/>
    <w:rsid w:val="000209A9"/>
    <w:rsid w:val="00024D76"/>
    <w:rsid w:val="00031B4F"/>
    <w:rsid w:val="000440DD"/>
    <w:rsid w:val="00045410"/>
    <w:rsid w:val="000468D8"/>
    <w:rsid w:val="00047206"/>
    <w:rsid w:val="00052C8C"/>
    <w:rsid w:val="000562D1"/>
    <w:rsid w:val="00062179"/>
    <w:rsid w:val="0006286B"/>
    <w:rsid w:val="0008264B"/>
    <w:rsid w:val="000901C6"/>
    <w:rsid w:val="000903C2"/>
    <w:rsid w:val="000B080F"/>
    <w:rsid w:val="000B0EE1"/>
    <w:rsid w:val="000B3A31"/>
    <w:rsid w:val="000B474E"/>
    <w:rsid w:val="000B49E4"/>
    <w:rsid w:val="000B5F98"/>
    <w:rsid w:val="000C46FF"/>
    <w:rsid w:val="000C6CC1"/>
    <w:rsid w:val="000D5B96"/>
    <w:rsid w:val="000E057E"/>
    <w:rsid w:val="000F1FBB"/>
    <w:rsid w:val="000F39D5"/>
    <w:rsid w:val="00104CDE"/>
    <w:rsid w:val="00112112"/>
    <w:rsid w:val="00112AD3"/>
    <w:rsid w:val="0012213E"/>
    <w:rsid w:val="0013035C"/>
    <w:rsid w:val="00131848"/>
    <w:rsid w:val="001344C8"/>
    <w:rsid w:val="0013526C"/>
    <w:rsid w:val="001422D3"/>
    <w:rsid w:val="0014641C"/>
    <w:rsid w:val="001523F7"/>
    <w:rsid w:val="00153C0F"/>
    <w:rsid w:val="00161A85"/>
    <w:rsid w:val="001645A7"/>
    <w:rsid w:val="00173FAC"/>
    <w:rsid w:val="00183214"/>
    <w:rsid w:val="00192DBD"/>
    <w:rsid w:val="00192EA6"/>
    <w:rsid w:val="001A1007"/>
    <w:rsid w:val="001D0080"/>
    <w:rsid w:val="001D4294"/>
    <w:rsid w:val="001E1844"/>
    <w:rsid w:val="001F25C2"/>
    <w:rsid w:val="001F4F60"/>
    <w:rsid w:val="00206CAB"/>
    <w:rsid w:val="00210DD9"/>
    <w:rsid w:val="00212714"/>
    <w:rsid w:val="00213466"/>
    <w:rsid w:val="00214069"/>
    <w:rsid w:val="002152FD"/>
    <w:rsid w:val="00224213"/>
    <w:rsid w:val="00224DB4"/>
    <w:rsid w:val="00224F65"/>
    <w:rsid w:val="0022746C"/>
    <w:rsid w:val="00233A79"/>
    <w:rsid w:val="00234D7D"/>
    <w:rsid w:val="00237C12"/>
    <w:rsid w:val="0024268B"/>
    <w:rsid w:val="00252FF4"/>
    <w:rsid w:val="00253670"/>
    <w:rsid w:val="00263DBC"/>
    <w:rsid w:val="0027118C"/>
    <w:rsid w:val="00271B81"/>
    <w:rsid w:val="00273F06"/>
    <w:rsid w:val="00273F57"/>
    <w:rsid w:val="0027671D"/>
    <w:rsid w:val="00280DA4"/>
    <w:rsid w:val="00281A92"/>
    <w:rsid w:val="002821DC"/>
    <w:rsid w:val="002874EA"/>
    <w:rsid w:val="002918C7"/>
    <w:rsid w:val="002A2CEA"/>
    <w:rsid w:val="002B044F"/>
    <w:rsid w:val="002B1923"/>
    <w:rsid w:val="002B60D2"/>
    <w:rsid w:val="002B644F"/>
    <w:rsid w:val="002C18D1"/>
    <w:rsid w:val="002C411B"/>
    <w:rsid w:val="002E22F5"/>
    <w:rsid w:val="002E3138"/>
    <w:rsid w:val="002E3BEA"/>
    <w:rsid w:val="00303BAA"/>
    <w:rsid w:val="00303D87"/>
    <w:rsid w:val="00314FE9"/>
    <w:rsid w:val="00315F07"/>
    <w:rsid w:val="0031672C"/>
    <w:rsid w:val="00337AB6"/>
    <w:rsid w:val="003514FF"/>
    <w:rsid w:val="003570FE"/>
    <w:rsid w:val="003601C3"/>
    <w:rsid w:val="00371128"/>
    <w:rsid w:val="00371D22"/>
    <w:rsid w:val="003837DB"/>
    <w:rsid w:val="00385C26"/>
    <w:rsid w:val="003959D3"/>
    <w:rsid w:val="0039764B"/>
    <w:rsid w:val="003B6F06"/>
    <w:rsid w:val="003C02E2"/>
    <w:rsid w:val="003C08AD"/>
    <w:rsid w:val="003C0E6A"/>
    <w:rsid w:val="003C2E75"/>
    <w:rsid w:val="003C3A04"/>
    <w:rsid w:val="003D12E7"/>
    <w:rsid w:val="003E7AA3"/>
    <w:rsid w:val="003F1E07"/>
    <w:rsid w:val="00406FFD"/>
    <w:rsid w:val="0041728A"/>
    <w:rsid w:val="00421AEF"/>
    <w:rsid w:val="0042504A"/>
    <w:rsid w:val="00425EF4"/>
    <w:rsid w:val="00435E93"/>
    <w:rsid w:val="00444854"/>
    <w:rsid w:val="00453322"/>
    <w:rsid w:val="0046207E"/>
    <w:rsid w:val="00463F2D"/>
    <w:rsid w:val="00472196"/>
    <w:rsid w:val="0047288B"/>
    <w:rsid w:val="00472DC2"/>
    <w:rsid w:val="00483E67"/>
    <w:rsid w:val="00487988"/>
    <w:rsid w:val="004A3E33"/>
    <w:rsid w:val="004A74C1"/>
    <w:rsid w:val="004B7EB6"/>
    <w:rsid w:val="004C03DB"/>
    <w:rsid w:val="004C0B1D"/>
    <w:rsid w:val="004D2DE7"/>
    <w:rsid w:val="004D6DB3"/>
    <w:rsid w:val="004E059E"/>
    <w:rsid w:val="004E49A6"/>
    <w:rsid w:val="004E4BF0"/>
    <w:rsid w:val="004E4FFD"/>
    <w:rsid w:val="004E6086"/>
    <w:rsid w:val="004F41BD"/>
    <w:rsid w:val="004F5CD8"/>
    <w:rsid w:val="004F6F9B"/>
    <w:rsid w:val="004F77F5"/>
    <w:rsid w:val="005013B6"/>
    <w:rsid w:val="00514992"/>
    <w:rsid w:val="00520D63"/>
    <w:rsid w:val="00521034"/>
    <w:rsid w:val="005420BA"/>
    <w:rsid w:val="00560674"/>
    <w:rsid w:val="00575C73"/>
    <w:rsid w:val="00577C07"/>
    <w:rsid w:val="00581112"/>
    <w:rsid w:val="00584134"/>
    <w:rsid w:val="00593FDC"/>
    <w:rsid w:val="005A1FF7"/>
    <w:rsid w:val="005A6796"/>
    <w:rsid w:val="005C01B6"/>
    <w:rsid w:val="005C0403"/>
    <w:rsid w:val="005C0E7B"/>
    <w:rsid w:val="005C151C"/>
    <w:rsid w:val="005C5AB6"/>
    <w:rsid w:val="005D00E5"/>
    <w:rsid w:val="005E3901"/>
    <w:rsid w:val="005E60B4"/>
    <w:rsid w:val="005E7569"/>
    <w:rsid w:val="005F018E"/>
    <w:rsid w:val="00601DF8"/>
    <w:rsid w:val="00612505"/>
    <w:rsid w:val="006358B3"/>
    <w:rsid w:val="00635E6C"/>
    <w:rsid w:val="006362AB"/>
    <w:rsid w:val="006365B8"/>
    <w:rsid w:val="00644C84"/>
    <w:rsid w:val="00646DAF"/>
    <w:rsid w:val="00647F77"/>
    <w:rsid w:val="00651409"/>
    <w:rsid w:val="0065494B"/>
    <w:rsid w:val="00657F6D"/>
    <w:rsid w:val="0066325A"/>
    <w:rsid w:val="00666583"/>
    <w:rsid w:val="00666BE9"/>
    <w:rsid w:val="00672D51"/>
    <w:rsid w:val="00677107"/>
    <w:rsid w:val="0068091C"/>
    <w:rsid w:val="006826B2"/>
    <w:rsid w:val="006845E6"/>
    <w:rsid w:val="00693DD4"/>
    <w:rsid w:val="00694D42"/>
    <w:rsid w:val="006A3C25"/>
    <w:rsid w:val="006B172E"/>
    <w:rsid w:val="006B4D34"/>
    <w:rsid w:val="006B573C"/>
    <w:rsid w:val="006C168E"/>
    <w:rsid w:val="006C2FF1"/>
    <w:rsid w:val="006C4954"/>
    <w:rsid w:val="006F6851"/>
    <w:rsid w:val="00700B0A"/>
    <w:rsid w:val="007056B4"/>
    <w:rsid w:val="0071501F"/>
    <w:rsid w:val="00716A0E"/>
    <w:rsid w:val="0073032E"/>
    <w:rsid w:val="00730E1F"/>
    <w:rsid w:val="00733559"/>
    <w:rsid w:val="00733880"/>
    <w:rsid w:val="00735CBF"/>
    <w:rsid w:val="00736C4E"/>
    <w:rsid w:val="00737DBC"/>
    <w:rsid w:val="00744AFB"/>
    <w:rsid w:val="00745760"/>
    <w:rsid w:val="00747397"/>
    <w:rsid w:val="00750D07"/>
    <w:rsid w:val="00753E05"/>
    <w:rsid w:val="007556F8"/>
    <w:rsid w:val="00755B2B"/>
    <w:rsid w:val="00767BA5"/>
    <w:rsid w:val="00770545"/>
    <w:rsid w:val="00770DCE"/>
    <w:rsid w:val="0078270B"/>
    <w:rsid w:val="00784759"/>
    <w:rsid w:val="0079033D"/>
    <w:rsid w:val="00793161"/>
    <w:rsid w:val="007A33AD"/>
    <w:rsid w:val="007B102E"/>
    <w:rsid w:val="007B3D58"/>
    <w:rsid w:val="007B4C73"/>
    <w:rsid w:val="007C2B57"/>
    <w:rsid w:val="007D02FB"/>
    <w:rsid w:val="007D7A6C"/>
    <w:rsid w:val="007E5A92"/>
    <w:rsid w:val="007F3872"/>
    <w:rsid w:val="007F5C0A"/>
    <w:rsid w:val="007F5D19"/>
    <w:rsid w:val="008032D9"/>
    <w:rsid w:val="00805837"/>
    <w:rsid w:val="00807227"/>
    <w:rsid w:val="0081461D"/>
    <w:rsid w:val="00814D3E"/>
    <w:rsid w:val="00817D9F"/>
    <w:rsid w:val="008222BA"/>
    <w:rsid w:val="00823519"/>
    <w:rsid w:val="00827327"/>
    <w:rsid w:val="00834734"/>
    <w:rsid w:val="00836294"/>
    <w:rsid w:val="008372E5"/>
    <w:rsid w:val="0085192B"/>
    <w:rsid w:val="008567D6"/>
    <w:rsid w:val="008609DE"/>
    <w:rsid w:val="008611AC"/>
    <w:rsid w:val="00884526"/>
    <w:rsid w:val="0088597A"/>
    <w:rsid w:val="00886641"/>
    <w:rsid w:val="0088798B"/>
    <w:rsid w:val="00892C14"/>
    <w:rsid w:val="00894AC1"/>
    <w:rsid w:val="008A3793"/>
    <w:rsid w:val="008A5B3A"/>
    <w:rsid w:val="008A5EEE"/>
    <w:rsid w:val="008B2192"/>
    <w:rsid w:val="008B7D4A"/>
    <w:rsid w:val="008C217E"/>
    <w:rsid w:val="008C3969"/>
    <w:rsid w:val="008D1356"/>
    <w:rsid w:val="008F7CCD"/>
    <w:rsid w:val="00914060"/>
    <w:rsid w:val="00920A8A"/>
    <w:rsid w:val="0093056A"/>
    <w:rsid w:val="009346E4"/>
    <w:rsid w:val="00937EB4"/>
    <w:rsid w:val="0094053B"/>
    <w:rsid w:val="0094146E"/>
    <w:rsid w:val="00944896"/>
    <w:rsid w:val="00944EB4"/>
    <w:rsid w:val="00957914"/>
    <w:rsid w:val="009715E1"/>
    <w:rsid w:val="009870D0"/>
    <w:rsid w:val="00987A41"/>
    <w:rsid w:val="009A299C"/>
    <w:rsid w:val="009A32BD"/>
    <w:rsid w:val="009A32C3"/>
    <w:rsid w:val="009A79EC"/>
    <w:rsid w:val="009B050F"/>
    <w:rsid w:val="009B0938"/>
    <w:rsid w:val="009B3A19"/>
    <w:rsid w:val="009B6C34"/>
    <w:rsid w:val="009C27B1"/>
    <w:rsid w:val="009D0E5B"/>
    <w:rsid w:val="009D652C"/>
    <w:rsid w:val="009D719F"/>
    <w:rsid w:val="009E02E9"/>
    <w:rsid w:val="009E65AC"/>
    <w:rsid w:val="009E7509"/>
    <w:rsid w:val="009F4447"/>
    <w:rsid w:val="00A02E23"/>
    <w:rsid w:val="00A03480"/>
    <w:rsid w:val="00A12091"/>
    <w:rsid w:val="00A24D5B"/>
    <w:rsid w:val="00A3148D"/>
    <w:rsid w:val="00A350B1"/>
    <w:rsid w:val="00A41F62"/>
    <w:rsid w:val="00A45E68"/>
    <w:rsid w:val="00A46B99"/>
    <w:rsid w:val="00A47D5B"/>
    <w:rsid w:val="00A71CBE"/>
    <w:rsid w:val="00A74178"/>
    <w:rsid w:val="00A77E76"/>
    <w:rsid w:val="00A83B53"/>
    <w:rsid w:val="00A84CD7"/>
    <w:rsid w:val="00A9016E"/>
    <w:rsid w:val="00A94309"/>
    <w:rsid w:val="00A95F84"/>
    <w:rsid w:val="00AA5B7E"/>
    <w:rsid w:val="00AB03F4"/>
    <w:rsid w:val="00AB1865"/>
    <w:rsid w:val="00AC0EA5"/>
    <w:rsid w:val="00AC7B91"/>
    <w:rsid w:val="00AE1919"/>
    <w:rsid w:val="00AF3CEC"/>
    <w:rsid w:val="00AF71F5"/>
    <w:rsid w:val="00B14D5F"/>
    <w:rsid w:val="00B277C8"/>
    <w:rsid w:val="00B5038B"/>
    <w:rsid w:val="00B508D0"/>
    <w:rsid w:val="00B50DE8"/>
    <w:rsid w:val="00B5696F"/>
    <w:rsid w:val="00B61110"/>
    <w:rsid w:val="00B63FEA"/>
    <w:rsid w:val="00B70EAF"/>
    <w:rsid w:val="00B82E40"/>
    <w:rsid w:val="00BA12B4"/>
    <w:rsid w:val="00BA56E3"/>
    <w:rsid w:val="00BA720B"/>
    <w:rsid w:val="00BA7787"/>
    <w:rsid w:val="00BB10C0"/>
    <w:rsid w:val="00BB2E70"/>
    <w:rsid w:val="00BC2EB5"/>
    <w:rsid w:val="00BD32E4"/>
    <w:rsid w:val="00BF5D68"/>
    <w:rsid w:val="00C02073"/>
    <w:rsid w:val="00C1017A"/>
    <w:rsid w:val="00C23153"/>
    <w:rsid w:val="00C23483"/>
    <w:rsid w:val="00C30772"/>
    <w:rsid w:val="00C40D0A"/>
    <w:rsid w:val="00C421E2"/>
    <w:rsid w:val="00C44048"/>
    <w:rsid w:val="00C93CC8"/>
    <w:rsid w:val="00C97FFA"/>
    <w:rsid w:val="00CA1634"/>
    <w:rsid w:val="00CA33BA"/>
    <w:rsid w:val="00CB12DE"/>
    <w:rsid w:val="00CB7597"/>
    <w:rsid w:val="00CC2A3D"/>
    <w:rsid w:val="00CC5B0D"/>
    <w:rsid w:val="00CD1F33"/>
    <w:rsid w:val="00CD31EC"/>
    <w:rsid w:val="00CD56EB"/>
    <w:rsid w:val="00CE02EE"/>
    <w:rsid w:val="00CF57BB"/>
    <w:rsid w:val="00CF7F2B"/>
    <w:rsid w:val="00D04381"/>
    <w:rsid w:val="00D067D5"/>
    <w:rsid w:val="00D1488D"/>
    <w:rsid w:val="00D24670"/>
    <w:rsid w:val="00D3203E"/>
    <w:rsid w:val="00D4227B"/>
    <w:rsid w:val="00D43E68"/>
    <w:rsid w:val="00D51981"/>
    <w:rsid w:val="00D54EC8"/>
    <w:rsid w:val="00D54FF6"/>
    <w:rsid w:val="00D57CEE"/>
    <w:rsid w:val="00D61B90"/>
    <w:rsid w:val="00D677D5"/>
    <w:rsid w:val="00D8074C"/>
    <w:rsid w:val="00D86C51"/>
    <w:rsid w:val="00D87BBC"/>
    <w:rsid w:val="00DA14DC"/>
    <w:rsid w:val="00DB3759"/>
    <w:rsid w:val="00DB4491"/>
    <w:rsid w:val="00DB51E0"/>
    <w:rsid w:val="00DD4C19"/>
    <w:rsid w:val="00DE0045"/>
    <w:rsid w:val="00E05B75"/>
    <w:rsid w:val="00E16E10"/>
    <w:rsid w:val="00E22587"/>
    <w:rsid w:val="00E23761"/>
    <w:rsid w:val="00E37F6F"/>
    <w:rsid w:val="00E40206"/>
    <w:rsid w:val="00E433FC"/>
    <w:rsid w:val="00E44CE0"/>
    <w:rsid w:val="00E47AAF"/>
    <w:rsid w:val="00E50801"/>
    <w:rsid w:val="00E54344"/>
    <w:rsid w:val="00E6189E"/>
    <w:rsid w:val="00E62DB2"/>
    <w:rsid w:val="00E7244A"/>
    <w:rsid w:val="00E817CA"/>
    <w:rsid w:val="00E81C74"/>
    <w:rsid w:val="00E914EC"/>
    <w:rsid w:val="00E95C62"/>
    <w:rsid w:val="00EA1128"/>
    <w:rsid w:val="00EA39DA"/>
    <w:rsid w:val="00EB080B"/>
    <w:rsid w:val="00EB433B"/>
    <w:rsid w:val="00EC1F05"/>
    <w:rsid w:val="00EC7957"/>
    <w:rsid w:val="00EE3EDB"/>
    <w:rsid w:val="00EE68B1"/>
    <w:rsid w:val="00EF1A53"/>
    <w:rsid w:val="00EF49FF"/>
    <w:rsid w:val="00F1201D"/>
    <w:rsid w:val="00F16AF5"/>
    <w:rsid w:val="00F21DB2"/>
    <w:rsid w:val="00F25A43"/>
    <w:rsid w:val="00F30B3B"/>
    <w:rsid w:val="00F37F07"/>
    <w:rsid w:val="00F47374"/>
    <w:rsid w:val="00F5299B"/>
    <w:rsid w:val="00F547B5"/>
    <w:rsid w:val="00F64E11"/>
    <w:rsid w:val="00F65103"/>
    <w:rsid w:val="00F652EA"/>
    <w:rsid w:val="00F76BEA"/>
    <w:rsid w:val="00F80194"/>
    <w:rsid w:val="00FA1770"/>
    <w:rsid w:val="00FA607A"/>
    <w:rsid w:val="00FA76E1"/>
    <w:rsid w:val="00FB55E2"/>
    <w:rsid w:val="00FB6C05"/>
    <w:rsid w:val="00FB75F0"/>
    <w:rsid w:val="00FC6883"/>
    <w:rsid w:val="00FE3B81"/>
    <w:rsid w:val="00FF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BB"/>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27"/>
    <w:pPr>
      <w:ind w:left="720"/>
      <w:contextualSpacing/>
    </w:pPr>
  </w:style>
  <w:style w:type="character" w:customStyle="1" w:styleId="apple-converted-space">
    <w:name w:val="apple-converted-space"/>
    <w:basedOn w:val="DefaultParagraphFont"/>
    <w:rsid w:val="00CF57BB"/>
  </w:style>
  <w:style w:type="paragraph" w:styleId="NormalWeb">
    <w:name w:val="Normal (Web)"/>
    <w:basedOn w:val="Normal"/>
    <w:uiPriority w:val="99"/>
    <w:unhideWhenUsed/>
    <w:rsid w:val="00CF57BB"/>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CF57BB"/>
    <w:rPr>
      <w:i/>
      <w:iCs/>
    </w:rPr>
  </w:style>
  <w:style w:type="character" w:styleId="Strong">
    <w:name w:val="Strong"/>
    <w:basedOn w:val="DefaultParagraphFont"/>
    <w:uiPriority w:val="22"/>
    <w:qFormat/>
    <w:rsid w:val="00CF57BB"/>
    <w:rPr>
      <w:b/>
      <w:bCs/>
    </w:rPr>
  </w:style>
  <w:style w:type="character" w:styleId="Hyperlink">
    <w:name w:val="Hyperlink"/>
    <w:basedOn w:val="DefaultParagraphFont"/>
    <w:uiPriority w:val="99"/>
    <w:unhideWhenUsed/>
    <w:rsid w:val="00CF57BB"/>
    <w:rPr>
      <w:color w:val="0000FF"/>
      <w:u w:val="single"/>
    </w:rPr>
  </w:style>
  <w:style w:type="paragraph" w:styleId="BalloonText">
    <w:name w:val="Balloon Text"/>
    <w:basedOn w:val="Normal"/>
    <w:link w:val="BalloonTextChar"/>
    <w:uiPriority w:val="99"/>
    <w:semiHidden/>
    <w:unhideWhenUsed/>
    <w:rsid w:val="00CF57BB"/>
    <w:rPr>
      <w:rFonts w:ascii="Tahoma" w:hAnsi="Tahoma" w:cs="Tahoma"/>
      <w:sz w:val="16"/>
      <w:szCs w:val="16"/>
    </w:rPr>
  </w:style>
  <w:style w:type="character" w:customStyle="1" w:styleId="BalloonTextChar">
    <w:name w:val="Balloon Text Char"/>
    <w:basedOn w:val="DefaultParagraphFont"/>
    <w:link w:val="BalloonText"/>
    <w:uiPriority w:val="99"/>
    <w:semiHidden/>
    <w:rsid w:val="00CF57BB"/>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aufaitfincare.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5750-7D1F-49EC-A71E-6785843F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23</cp:revision>
  <dcterms:created xsi:type="dcterms:W3CDTF">2016-05-02T06:03:00Z</dcterms:created>
  <dcterms:modified xsi:type="dcterms:W3CDTF">2016-05-04T08:55:00Z</dcterms:modified>
</cp:coreProperties>
</file>